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6A13" w14:textId="77777777" w:rsidR="002D23B8" w:rsidRDefault="002D23B8" w:rsidP="002D23B8">
      <w:pPr>
        <w:jc w:val="center"/>
        <w:rPr>
          <w:rFonts w:ascii="Calibri" w:hAnsi="Calibri" w:cs="Calibri"/>
          <w:b/>
          <w:bCs/>
          <w:color w:val="2E74B5" w:themeColor="accent1" w:themeShade="BF"/>
          <w:sz w:val="72"/>
          <w:szCs w:val="72"/>
        </w:rPr>
      </w:pPr>
    </w:p>
    <w:p w14:paraId="22C0AD9C" w14:textId="77777777" w:rsidR="002D23B8" w:rsidRDefault="002D23B8" w:rsidP="002D23B8">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54D111A3" w14:textId="77777777" w:rsidR="002D23B8" w:rsidRDefault="002D23B8" w:rsidP="002D23B8">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739E7D7E" w14:textId="77777777" w:rsidR="002D23B8" w:rsidRPr="0012443C" w:rsidRDefault="002D23B8" w:rsidP="002D23B8">
      <w:pPr>
        <w:jc w:val="center"/>
        <w:rPr>
          <w:rFonts w:ascii="Calibri" w:hAnsi="Calibri" w:cs="Calibri"/>
          <w:b/>
          <w:bCs/>
          <w:color w:val="2E74B5" w:themeColor="accent1" w:themeShade="BF"/>
          <w:sz w:val="72"/>
          <w:szCs w:val="72"/>
        </w:rPr>
      </w:pPr>
    </w:p>
    <w:p w14:paraId="22413E77" w14:textId="5AAE171E" w:rsidR="002D23B8" w:rsidRPr="00B347EF" w:rsidRDefault="002D23B8" w:rsidP="002D23B8">
      <w:pPr>
        <w:spacing w:line="259" w:lineRule="auto"/>
        <w:jc w:val="center"/>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Znění výzvy soutěže</w:t>
      </w:r>
    </w:p>
    <w:p w14:paraId="69110A39" w14:textId="77777777" w:rsidR="002D23B8" w:rsidRPr="00B347EF" w:rsidRDefault="002D23B8" w:rsidP="002D23B8">
      <w:pPr>
        <w:jc w:val="center"/>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 xml:space="preserve">v rámci S1: </w:t>
      </w:r>
    </w:p>
    <w:p w14:paraId="3070E17B" w14:textId="63B9C6EB" w:rsidR="002D23B8" w:rsidRPr="00482B05" w:rsidRDefault="002D23B8" w:rsidP="002D23B8">
      <w:pPr>
        <w:jc w:val="center"/>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Podpora přípravy vědeckých výstupů</w:t>
      </w:r>
    </w:p>
    <w:p w14:paraId="3C062017"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5209E96C"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614CB09F"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56209C2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3C145113"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727720D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5F34ABC1"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02ADF37E" w14:textId="1BFA292C" w:rsidR="002D23B8" w:rsidRPr="00891C30" w:rsidRDefault="002D23B8" w:rsidP="002D23B8">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B92E65">
        <w:rPr>
          <w:rFonts w:ascii="Calibri" w:hAnsi="Calibri" w:cs="Calibri"/>
          <w:b/>
          <w:bCs/>
          <w:color w:val="767171" w:themeColor="background2" w:themeShade="80"/>
          <w:sz w:val="36"/>
          <w:szCs w:val="36"/>
        </w:rPr>
        <w:t>3</w:t>
      </w:r>
    </w:p>
    <w:p w14:paraId="62353957" w14:textId="2EE597FF" w:rsidR="00285527" w:rsidRDefault="00285527" w:rsidP="00C33212">
      <w:pPr>
        <w:jc w:val="both"/>
        <w:rPr>
          <w:rFonts w:ascii="Calibri" w:hAnsi="Calibri" w:cs="Calibri"/>
          <w:sz w:val="22"/>
        </w:rPr>
      </w:pPr>
    </w:p>
    <w:p w14:paraId="3904DFDD" w14:textId="0B0CED0B" w:rsidR="00285527" w:rsidRDefault="00285527" w:rsidP="00C33212">
      <w:pPr>
        <w:jc w:val="both"/>
        <w:rPr>
          <w:rFonts w:ascii="Calibri" w:hAnsi="Calibri" w:cs="Calibri"/>
          <w:sz w:val="22"/>
        </w:rPr>
      </w:pPr>
    </w:p>
    <w:p w14:paraId="74D90A73" w14:textId="3768839C" w:rsidR="00285527" w:rsidRDefault="00285527" w:rsidP="002D23B8">
      <w:pPr>
        <w:spacing w:after="160" w:line="259" w:lineRule="auto"/>
        <w:rPr>
          <w:rFonts w:ascii="Calibri" w:hAnsi="Calibri" w:cs="Calibri"/>
          <w:b/>
          <w:bCs/>
          <w:color w:val="2E74B5" w:themeColor="accent1" w:themeShade="BF"/>
          <w:sz w:val="36"/>
          <w:szCs w:val="36"/>
        </w:rPr>
      </w:pPr>
      <w:r>
        <w:rPr>
          <w:rFonts w:ascii="Calibri" w:hAnsi="Calibri" w:cs="Calibri"/>
          <w:sz w:val="22"/>
        </w:rPr>
        <w:br w:type="page"/>
      </w:r>
      <w:r w:rsidRPr="00656979">
        <w:rPr>
          <w:rFonts w:ascii="Calibri" w:hAnsi="Calibri" w:cs="Calibri"/>
          <w:b/>
          <w:bCs/>
          <w:color w:val="2E74B5" w:themeColor="accent1" w:themeShade="BF"/>
          <w:sz w:val="36"/>
          <w:szCs w:val="36"/>
        </w:rPr>
        <w:lastRenderedPageBreak/>
        <w:t>FOND PRO PODPORU VĚDECKÉ ČINNOSTI</w:t>
      </w:r>
    </w:p>
    <w:p w14:paraId="4572CF38" w14:textId="77777777" w:rsidR="00285527" w:rsidRDefault="00285527" w:rsidP="00285527">
      <w:pPr>
        <w:jc w:val="both"/>
        <w:rPr>
          <w:rFonts w:ascii="Calibri" w:hAnsi="Calibri" w:cs="Calibri"/>
          <w:b/>
          <w:bCs/>
          <w:color w:val="2E74B5" w:themeColor="accent1" w:themeShade="BF"/>
          <w:sz w:val="36"/>
          <w:szCs w:val="36"/>
        </w:rPr>
      </w:pPr>
    </w:p>
    <w:p w14:paraId="6084717B" w14:textId="1BD9D8BE" w:rsidR="00285527" w:rsidRPr="00285527" w:rsidRDefault="00285527" w:rsidP="00285527">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B92E65">
        <w:rPr>
          <w:rFonts w:asciiTheme="minorHAnsi" w:hAnsiTheme="minorHAnsi" w:cstheme="minorHAnsi"/>
          <w:b/>
          <w:bCs/>
          <w:i w:val="0"/>
          <w:iCs w:val="0"/>
          <w:color w:val="2E74B5" w:themeColor="accent1" w:themeShade="BF"/>
          <w:sz w:val="52"/>
          <w:szCs w:val="52"/>
        </w:rPr>
        <w:t>3</w:t>
      </w:r>
    </w:p>
    <w:p w14:paraId="5402693A" w14:textId="00FC7F7B" w:rsidR="00285527" w:rsidRPr="00482B05" w:rsidRDefault="00285527" w:rsidP="00285527">
      <w:pPr>
        <w:jc w:val="both"/>
        <w:rPr>
          <w:rFonts w:ascii="Calibri" w:hAnsi="Calibri" w:cs="Calibri"/>
          <w:b/>
          <w:bCs/>
          <w:color w:val="2E74B5" w:themeColor="accent1" w:themeShade="BF"/>
          <w:sz w:val="36"/>
          <w:szCs w:val="36"/>
        </w:rPr>
      </w:pPr>
      <w:r w:rsidRPr="00B347EF">
        <w:rPr>
          <w:rFonts w:ascii="Calibri" w:hAnsi="Calibri" w:cs="Calibri"/>
          <w:b/>
          <w:bCs/>
          <w:color w:val="2E74B5" w:themeColor="accent1" w:themeShade="BF"/>
          <w:sz w:val="36"/>
          <w:szCs w:val="36"/>
        </w:rPr>
        <w:t xml:space="preserve">v rámci </w:t>
      </w:r>
      <w:r w:rsidR="00860527" w:rsidRPr="00B347EF">
        <w:rPr>
          <w:rFonts w:ascii="Calibri" w:hAnsi="Calibri" w:cs="Calibri"/>
          <w:b/>
          <w:bCs/>
          <w:color w:val="2E74B5" w:themeColor="accent1" w:themeShade="BF"/>
          <w:sz w:val="36"/>
          <w:szCs w:val="36"/>
        </w:rPr>
        <w:t>S1</w:t>
      </w:r>
      <w:r w:rsidRPr="00B347EF">
        <w:rPr>
          <w:rFonts w:ascii="Calibri" w:hAnsi="Calibri" w:cs="Calibri"/>
          <w:b/>
          <w:bCs/>
          <w:color w:val="2E74B5" w:themeColor="accent1" w:themeShade="BF"/>
          <w:sz w:val="36"/>
          <w:szCs w:val="36"/>
        </w:rPr>
        <w:t>: Podpora přípravy vědeckých výstupů</w:t>
      </w:r>
    </w:p>
    <w:p w14:paraId="7B8BC556" w14:textId="674BC932" w:rsidR="00285527" w:rsidRDefault="00285527" w:rsidP="00285527">
      <w:pPr>
        <w:autoSpaceDE w:val="0"/>
        <w:autoSpaceDN w:val="0"/>
        <w:adjustRightInd w:val="0"/>
        <w:spacing w:line="240" w:lineRule="auto"/>
        <w:jc w:val="both"/>
        <w:rPr>
          <w:rFonts w:ascii="Calibri" w:hAnsi="Calibri" w:cs="Calibri"/>
          <w:b/>
          <w:bCs/>
          <w:sz w:val="22"/>
        </w:rPr>
      </w:pPr>
    </w:p>
    <w:p w14:paraId="7E384092" w14:textId="77777777" w:rsidR="00B92E65" w:rsidRPr="00656979" w:rsidRDefault="00B92E65" w:rsidP="00B92E65">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Cílem podpory je napomáhat vzniku vysoce kvalitních publikačních výstupů různých druhů (knihy, kapitoly v knihách, články, ostatní), které FF UP definuje jako strategické z hlediska hodnocení vědy a výzkumu. Budou finančně podporovány aktivity, které přímo souvisejí s přípravou publikačních výstupů definovaných jako strategické* na FF</w:t>
      </w:r>
      <w:r>
        <w:rPr>
          <w:rFonts w:ascii="Calibri" w:hAnsi="Calibri" w:cs="Calibri"/>
          <w:sz w:val="22"/>
        </w:rPr>
        <w:t xml:space="preserve"> </w:t>
      </w:r>
      <w:r w:rsidRPr="00656979">
        <w:rPr>
          <w:rFonts w:ascii="Calibri" w:hAnsi="Calibri" w:cs="Calibri"/>
          <w:sz w:val="22"/>
        </w:rPr>
        <w:t>UP. Hlavním výstupem projektů budou hotové rukopisy vědeckých výstupů, které se žadatelé zaváží připravit a nejpozději v období do tří let od ukončení řešení projektu publikačně uplatnit.</w:t>
      </w:r>
    </w:p>
    <w:p w14:paraId="4F122237" w14:textId="77777777" w:rsidR="00B92E65" w:rsidRPr="00656979" w:rsidRDefault="00B92E65" w:rsidP="00B92E65">
      <w:pPr>
        <w:autoSpaceDE w:val="0"/>
        <w:autoSpaceDN w:val="0"/>
        <w:adjustRightInd w:val="0"/>
        <w:spacing w:line="240" w:lineRule="auto"/>
        <w:jc w:val="both"/>
        <w:rPr>
          <w:rFonts w:ascii="Calibri" w:hAnsi="Calibri" w:cs="Calibri"/>
          <w:b/>
          <w:bCs/>
          <w:szCs w:val="24"/>
        </w:rPr>
      </w:pPr>
    </w:p>
    <w:p w14:paraId="05B77785" w14:textId="77777777" w:rsidR="00B92E65" w:rsidRPr="00656979" w:rsidRDefault="00B92E65" w:rsidP="00B92E65">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A70CD21" w14:textId="77777777" w:rsidR="00B92E65" w:rsidRPr="005676EE"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Pr>
          <w:rFonts w:ascii="Calibri" w:hAnsi="Calibri" w:cs="Calibri"/>
          <w:sz w:val="22"/>
        </w:rPr>
        <w:t>O podporu v soutěži se lze ucházet prostřednictvím kompletně vyplněné přihlášky na předepsaném formuláři (v příloze) odevzdaném ve stanoveném termínu v elektronické podobě (formát word/PDF) na oddělení pro vědu a výzkum k rukám vědecké referentky.</w:t>
      </w:r>
    </w:p>
    <w:p w14:paraId="047A6473" w14:textId="77777777" w:rsidR="00B92E65"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p>
    <w:p w14:paraId="666C541C" w14:textId="77777777" w:rsidR="00B92E65" w:rsidRPr="00656979"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Pr>
          <w:rFonts w:ascii="Calibri" w:hAnsi="Calibri" w:cs="Calibri"/>
          <w:sz w:val="22"/>
        </w:rPr>
        <w:t>Projekty mohou být individuální (tvořen jedním pracovníkem) nebo týmové (tvořen více jak jedním pracovníkem). Velikost týmu není omezena. Na vzniku výstupu se mohou podílet rovněž pracovníci, kteří nemají pracovněprávní vztah k FF UP (např. jako spoluautoři textu). Při řešení projektu však tito externí spolupracovníci nemohou nárokovat finanční prostředky.</w:t>
      </w:r>
    </w:p>
    <w:p w14:paraId="64E3A92F" w14:textId="77777777" w:rsidR="00B92E65" w:rsidRPr="0053017B"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4422F0">
        <w:rPr>
          <w:rFonts w:ascii="Calibri" w:hAnsi="Calibri" w:cs="Calibri"/>
          <w:sz w:val="22"/>
        </w:rPr>
        <w:t xml:space="preserve">Finanční prostředky lze čerpat na hrazení výdajů spojených s přípravou publikačního výstupu, zejm. na cestovní náklady tuzemské i zahraniční, spotřebu materiálu (zejm. nákup odborné literatury, drobný hmotný majetek s výjimkou výpočetní techniky), služby (zejm. překlady, pořízení reprodukčních práv, licence, software, meziknihovní výpůjční služby </w:t>
      </w:r>
      <w:r w:rsidRPr="0053017B">
        <w:rPr>
          <w:rFonts w:ascii="Calibri" w:hAnsi="Calibri" w:cs="Calibri"/>
          <w:sz w:val="22"/>
        </w:rPr>
        <w:t xml:space="preserve">atd.). Z prostředků nelze hradit výdaje spojené s předtiskovou přípravou a tiskem, licence Open Access a jakékoli osobní náklady. </w:t>
      </w:r>
    </w:p>
    <w:p w14:paraId="0CDE6950" w14:textId="77777777" w:rsidR="00B92E65" w:rsidRPr="00656979"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4B7AD17E" w14:textId="77777777" w:rsidR="00B92E65" w:rsidRPr="00656979"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 xml:space="preserve">Maximální možná výše finanční podpory v rámci tohoto </w:t>
      </w:r>
      <w:r>
        <w:rPr>
          <w:rFonts w:ascii="Calibri" w:hAnsi="Calibri" w:cs="Calibri"/>
          <w:sz w:val="22"/>
        </w:rPr>
        <w:t>segmentu</w:t>
      </w:r>
      <w:r w:rsidRPr="00656979">
        <w:rPr>
          <w:rFonts w:ascii="Calibri" w:hAnsi="Calibri" w:cs="Calibri"/>
          <w:sz w:val="22"/>
        </w:rPr>
        <w:t xml:space="preserve"> FPVČ činí </w:t>
      </w:r>
      <w:r>
        <w:rPr>
          <w:rFonts w:ascii="Calibri" w:hAnsi="Calibri" w:cs="Calibri"/>
          <w:sz w:val="22"/>
        </w:rPr>
        <w:t xml:space="preserve">na celou dobu řešení </w:t>
      </w:r>
      <w:r w:rsidRPr="00656979">
        <w:rPr>
          <w:rFonts w:ascii="Calibri" w:hAnsi="Calibri" w:cs="Calibri"/>
          <w:sz w:val="22"/>
        </w:rPr>
        <w:t xml:space="preserve">pro jeden </w:t>
      </w:r>
      <w:r>
        <w:rPr>
          <w:rFonts w:ascii="Calibri" w:hAnsi="Calibri" w:cs="Calibri"/>
          <w:sz w:val="22"/>
        </w:rPr>
        <w:t xml:space="preserve">individuální projekt 250.000 Kč, pro týmový </w:t>
      </w:r>
      <w:r w:rsidRPr="00656979">
        <w:rPr>
          <w:rFonts w:ascii="Calibri" w:hAnsi="Calibri" w:cs="Calibri"/>
          <w:sz w:val="22"/>
        </w:rPr>
        <w:t>projekt 500.000 Kč. Minimální částka není stanovena.</w:t>
      </w:r>
    </w:p>
    <w:p w14:paraId="41C3A7CA" w14:textId="77777777" w:rsidR="00B92E65" w:rsidRPr="00656979"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Délka trvání projektu: 1–3 roky podle údaje v žádosti.</w:t>
      </w:r>
    </w:p>
    <w:p w14:paraId="0A08C222" w14:textId="77777777" w:rsidR="00B92E65" w:rsidRPr="00656979" w:rsidRDefault="00B92E65" w:rsidP="00B92E65">
      <w:pPr>
        <w:pStyle w:val="Odstavecseseznamem"/>
        <w:numPr>
          <w:ilvl w:val="0"/>
          <w:numId w:val="15"/>
        </w:numPr>
        <w:autoSpaceDE w:val="0"/>
        <w:autoSpaceDN w:val="0"/>
        <w:adjustRightInd w:val="0"/>
        <w:spacing w:line="240" w:lineRule="auto"/>
        <w:ind w:left="714" w:hanging="357"/>
        <w:jc w:val="both"/>
        <w:rPr>
          <w:rFonts w:ascii="Calibri" w:hAnsi="Calibri" w:cs="Calibri"/>
          <w:sz w:val="22"/>
        </w:rPr>
      </w:pPr>
      <w:r w:rsidRPr="00656979">
        <w:rPr>
          <w:rFonts w:ascii="Calibri" w:hAnsi="Calibri" w:cs="Calibri"/>
          <w:sz w:val="22"/>
        </w:rPr>
        <w:t>Dobu řešení projektu nelze prodlužovat. Řešení projektu lze přerušit po dobu čerpání mateřské/rodičovské dovolené, po schválení Komisí FPVČ též v případě dlouhodobé pracovní neschopnosti či jiných závažných okolností hodných zřetele.</w:t>
      </w:r>
    </w:p>
    <w:p w14:paraId="0D0C4C59" w14:textId="77777777" w:rsidR="00B92E65" w:rsidRPr="00656979" w:rsidRDefault="00B92E65" w:rsidP="00B92E65">
      <w:pPr>
        <w:pStyle w:val="Odstavecseseznamem"/>
        <w:numPr>
          <w:ilvl w:val="0"/>
          <w:numId w:val="16"/>
        </w:numPr>
        <w:autoSpaceDE w:val="0"/>
        <w:autoSpaceDN w:val="0"/>
        <w:adjustRightInd w:val="0"/>
        <w:spacing w:line="240" w:lineRule="auto"/>
        <w:ind w:left="714"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2BD9BC70" w14:textId="77777777" w:rsidR="00B92E65" w:rsidRPr="00656979" w:rsidRDefault="00B92E65" w:rsidP="00B92E6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30. června: vyhlášení soutěže</w:t>
      </w:r>
    </w:p>
    <w:p w14:paraId="5B1EE0D0" w14:textId="77777777" w:rsidR="00B92E65" w:rsidRPr="00656979" w:rsidRDefault="00B92E65" w:rsidP="00B92E6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do 15. října: deadline pro podání návrh</w:t>
      </w:r>
      <w:r>
        <w:rPr>
          <w:rFonts w:ascii="Calibri" w:hAnsi="Calibri" w:cs="Calibri"/>
          <w:sz w:val="22"/>
        </w:rPr>
        <w:t>ů</w:t>
      </w:r>
    </w:p>
    <w:p w14:paraId="4AA37A62" w14:textId="77777777" w:rsidR="00B92E65" w:rsidRPr="00656979" w:rsidRDefault="00B92E65" w:rsidP="00B92E6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16. října – 3</w:t>
      </w:r>
      <w:r>
        <w:rPr>
          <w:rFonts w:ascii="Calibri" w:hAnsi="Calibri" w:cs="Calibri"/>
          <w:sz w:val="22"/>
        </w:rPr>
        <w:t>0</w:t>
      </w:r>
      <w:r w:rsidRPr="00656979">
        <w:rPr>
          <w:rFonts w:ascii="Calibri" w:hAnsi="Calibri" w:cs="Calibri"/>
          <w:sz w:val="22"/>
        </w:rPr>
        <w:t>. listopadu: hodnotící období a oznámení výsledků</w:t>
      </w:r>
    </w:p>
    <w:p w14:paraId="7C9ACDE0" w14:textId="77777777" w:rsidR="00B92E65" w:rsidRPr="00656979" w:rsidRDefault="00B92E65" w:rsidP="00B92E65">
      <w:pPr>
        <w:numPr>
          <w:ilvl w:val="1"/>
          <w:numId w:val="7"/>
        </w:numPr>
        <w:autoSpaceDE w:val="0"/>
        <w:autoSpaceDN w:val="0"/>
        <w:adjustRightInd w:val="0"/>
        <w:spacing w:line="240" w:lineRule="auto"/>
        <w:ind w:left="1718" w:hanging="357"/>
        <w:jc w:val="both"/>
        <w:rPr>
          <w:rFonts w:ascii="Calibri" w:hAnsi="Calibri" w:cs="Calibri"/>
          <w:sz w:val="22"/>
        </w:rPr>
      </w:pPr>
      <w:r w:rsidRPr="00656979">
        <w:rPr>
          <w:rFonts w:ascii="Calibri" w:hAnsi="Calibri" w:cs="Calibri"/>
          <w:sz w:val="22"/>
        </w:rPr>
        <w:t>1. ledna – 31. prosince: období řešení (1–3 roky podle návrhu)</w:t>
      </w:r>
    </w:p>
    <w:p w14:paraId="59D90721" w14:textId="77777777" w:rsidR="00B92E65" w:rsidRPr="002D23B8" w:rsidRDefault="00B92E65" w:rsidP="00B92E65">
      <w:pPr>
        <w:pStyle w:val="Odstavecseseznamem"/>
        <w:widowControl w:val="0"/>
        <w:numPr>
          <w:ilvl w:val="0"/>
          <w:numId w:val="3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75F36775" w14:textId="77777777" w:rsidR="00B92E65" w:rsidRDefault="00B92E65" w:rsidP="00B92E65">
      <w:pPr>
        <w:pStyle w:val="Odstavecseseznamem"/>
        <w:numPr>
          <w:ilvl w:val="0"/>
          <w:numId w:val="17"/>
        </w:numPr>
        <w:autoSpaceDE w:val="0"/>
        <w:autoSpaceDN w:val="0"/>
        <w:adjustRightInd w:val="0"/>
        <w:spacing w:line="240" w:lineRule="auto"/>
        <w:jc w:val="both"/>
        <w:rPr>
          <w:rFonts w:ascii="Calibri" w:hAnsi="Calibri" w:cs="Calibri"/>
          <w:sz w:val="22"/>
        </w:rPr>
      </w:pPr>
      <w:r w:rsidRPr="00656979">
        <w:rPr>
          <w:rFonts w:ascii="Calibri" w:hAnsi="Calibri" w:cs="Calibri"/>
          <w:sz w:val="22"/>
        </w:rPr>
        <w:t>Finanční podporu je nezbytné vyčerpat vždy v příslušném kalendářním roce podle návrhu projektu, a to v souladu s pravidly čerpání finančních prostředků a účetní uzávěrky na FF UP.</w:t>
      </w:r>
    </w:p>
    <w:p w14:paraId="15D4F7FB" w14:textId="77777777" w:rsidR="00B92E65" w:rsidRPr="0023740F" w:rsidRDefault="00B92E65" w:rsidP="00B92E65">
      <w:pPr>
        <w:pStyle w:val="Odstavecseseznamem"/>
        <w:numPr>
          <w:ilvl w:val="0"/>
          <w:numId w:val="17"/>
        </w:numPr>
        <w:autoSpaceDE w:val="0"/>
        <w:autoSpaceDN w:val="0"/>
        <w:adjustRightInd w:val="0"/>
        <w:spacing w:line="240" w:lineRule="auto"/>
        <w:jc w:val="both"/>
        <w:rPr>
          <w:rFonts w:ascii="Calibri" w:hAnsi="Calibri" w:cs="Calibri"/>
          <w:sz w:val="22"/>
        </w:rPr>
      </w:pPr>
      <w:r w:rsidRPr="0023740F">
        <w:rPr>
          <w:rFonts w:ascii="Calibri" w:hAnsi="Calibri" w:cs="Calibri"/>
          <w:sz w:val="22"/>
        </w:rPr>
        <w:t>Identický projekt lze přihlásit do soutěže opakovaně, nejvýše však dvakrát, nedojde-li k jeho zásadnímu přepracování.</w:t>
      </w:r>
    </w:p>
    <w:p w14:paraId="263A110E" w14:textId="77777777" w:rsidR="00B92E65" w:rsidRPr="0023740F" w:rsidRDefault="00B92E65" w:rsidP="00B92E65">
      <w:pPr>
        <w:pStyle w:val="Odstavecseseznamem"/>
        <w:numPr>
          <w:ilvl w:val="0"/>
          <w:numId w:val="17"/>
        </w:numPr>
        <w:autoSpaceDE w:val="0"/>
        <w:autoSpaceDN w:val="0"/>
        <w:adjustRightInd w:val="0"/>
        <w:spacing w:line="240" w:lineRule="auto"/>
        <w:jc w:val="both"/>
        <w:rPr>
          <w:rFonts w:ascii="Calibri" w:hAnsi="Calibri" w:cs="Calibri"/>
          <w:sz w:val="22"/>
        </w:rPr>
      </w:pPr>
      <w:r w:rsidRPr="0023740F">
        <w:rPr>
          <w:rFonts w:ascii="Calibri" w:hAnsi="Calibri" w:cs="Calibri"/>
          <w:sz w:val="22"/>
        </w:rPr>
        <w:t xml:space="preserve">O podporu se mohou ucházet všichni akademičtí a vědečtí pracovníci s minimálním úvazkem 0,2 na FF UP. </w:t>
      </w:r>
      <w:r w:rsidRPr="0023740F">
        <w:rPr>
          <w:rFonts w:ascii="Calibri" w:hAnsi="Calibri" w:cs="Calibri"/>
          <w:sz w:val="22"/>
          <w:bdr w:val="none" w:sz="0" w:space="0" w:color="auto" w:frame="1"/>
        </w:rPr>
        <w:t>Členy projektového týmu mohou být akademičtí a vědečtí pracovníci s minimálním úvazkem 0,2 na FF UP.</w:t>
      </w:r>
    </w:p>
    <w:p w14:paraId="1CAD1AC2" w14:textId="77777777" w:rsidR="00B92E65" w:rsidRPr="0023740F" w:rsidRDefault="00B92E65" w:rsidP="00B92E65">
      <w:pPr>
        <w:pStyle w:val="Odstavecseseznamem"/>
        <w:numPr>
          <w:ilvl w:val="0"/>
          <w:numId w:val="17"/>
        </w:numPr>
        <w:autoSpaceDE w:val="0"/>
        <w:autoSpaceDN w:val="0"/>
        <w:adjustRightInd w:val="0"/>
        <w:spacing w:line="240" w:lineRule="auto"/>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37E841B2" w14:textId="73C26F79" w:rsidR="00B92E65" w:rsidRPr="00D226C6" w:rsidRDefault="00B92E65" w:rsidP="00B92E65">
      <w:pPr>
        <w:pStyle w:val="Odstavecseseznamem"/>
        <w:numPr>
          <w:ilvl w:val="0"/>
          <w:numId w:val="18"/>
        </w:numPr>
        <w:autoSpaceDE w:val="0"/>
        <w:autoSpaceDN w:val="0"/>
        <w:adjustRightInd w:val="0"/>
        <w:spacing w:line="240" w:lineRule="auto"/>
        <w:jc w:val="both"/>
        <w:rPr>
          <w:rFonts w:ascii="Calibri" w:hAnsi="Calibri" w:cs="Calibri"/>
          <w:sz w:val="22"/>
        </w:rPr>
      </w:pPr>
      <w:r w:rsidRPr="0023740F">
        <w:rPr>
          <w:rFonts w:ascii="Calibri" w:hAnsi="Calibri" w:cs="Calibri"/>
          <w:sz w:val="22"/>
        </w:rPr>
        <w:t>Komise bude při rozhodování o podpoře/nepodpoře projektu chovat zvláštní zřetel k žadatelům po mateřské</w:t>
      </w:r>
      <w:r w:rsidRPr="00D226C6">
        <w:rPr>
          <w:rFonts w:ascii="Calibri" w:hAnsi="Calibri" w:cs="Calibri"/>
          <w:sz w:val="22"/>
        </w:rPr>
        <w:t xml:space="preserve">/rodičovské dovolené, pakliže splní požadované kvalitativní standardy strategických publikačních výstupů. </w:t>
      </w:r>
    </w:p>
    <w:p w14:paraId="642D0C80" w14:textId="77777777" w:rsidR="00B92E65" w:rsidRDefault="00B92E65" w:rsidP="00B92E65">
      <w:pPr>
        <w:numPr>
          <w:ilvl w:val="0"/>
          <w:numId w:val="18"/>
        </w:numPr>
        <w:autoSpaceDE w:val="0"/>
        <w:autoSpaceDN w:val="0"/>
        <w:adjustRightInd w:val="0"/>
        <w:spacing w:line="240" w:lineRule="auto"/>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Pr>
          <w:rFonts w:ascii="Calibri" w:hAnsi="Calibri" w:cs="Calibri"/>
          <w:sz w:val="22"/>
        </w:rPr>
        <w:t xml:space="preserve"> za FF UP</w:t>
      </w:r>
      <w:r w:rsidRPr="00656979">
        <w:rPr>
          <w:rFonts w:ascii="Calibri" w:hAnsi="Calibri" w:cs="Calibri"/>
          <w:sz w:val="22"/>
        </w:rPr>
        <w:t>.</w:t>
      </w:r>
    </w:p>
    <w:p w14:paraId="2F45653D" w14:textId="77777777" w:rsidR="00B92E65" w:rsidRPr="00656979" w:rsidRDefault="00B92E65" w:rsidP="00B92E65">
      <w:pPr>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Řešitel se v průběhu řešení projektu může ucházet o další podporu v rámci S1.</w:t>
      </w:r>
    </w:p>
    <w:p w14:paraId="1449ADBA" w14:textId="77777777" w:rsidR="00B92E65" w:rsidRPr="00656979" w:rsidRDefault="00B92E65" w:rsidP="00B92E65">
      <w:pPr>
        <w:pStyle w:val="Odstavecseseznamem"/>
        <w:numPr>
          <w:ilvl w:val="0"/>
          <w:numId w:val="18"/>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je hodnocen </w:t>
      </w:r>
      <w:r>
        <w:rPr>
          <w:rFonts w:ascii="Calibri" w:hAnsi="Calibri" w:cs="Calibri"/>
          <w:sz w:val="22"/>
        </w:rPr>
        <w:t>jako</w:t>
      </w:r>
      <w:r w:rsidRPr="00656979">
        <w:rPr>
          <w:rFonts w:ascii="Calibri" w:hAnsi="Calibri" w:cs="Calibri"/>
          <w:sz w:val="22"/>
        </w:rPr>
        <w:t xml:space="preserve"> </w:t>
      </w:r>
      <w:r>
        <w:rPr>
          <w:rFonts w:ascii="Calibri" w:hAnsi="Calibri" w:cs="Calibri"/>
          <w:sz w:val="22"/>
        </w:rPr>
        <w:t>„</w:t>
      </w:r>
      <w:r w:rsidRPr="00656979">
        <w:rPr>
          <w:rFonts w:ascii="Calibri" w:hAnsi="Calibri" w:cs="Calibri"/>
          <w:sz w:val="22"/>
        </w:rPr>
        <w:t>splněný</w:t>
      </w:r>
      <w:r>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699A86DE" w14:textId="77777777" w:rsidR="00B92E65" w:rsidRDefault="00B92E65" w:rsidP="00B92E65">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Momentem, který zde označujeme jako</w:t>
      </w:r>
      <w:r w:rsidRPr="00656979">
        <w:rPr>
          <w:rFonts w:ascii="Calibri" w:hAnsi="Calibri" w:cs="Calibri"/>
          <w:sz w:val="22"/>
        </w:rPr>
        <w:t xml:space="preserve"> „přijato k publikování“</w:t>
      </w:r>
      <w:r>
        <w:rPr>
          <w:rFonts w:ascii="Calibri" w:hAnsi="Calibri" w:cs="Calibri"/>
          <w:sz w:val="22"/>
        </w:rPr>
        <w:t>, se rozumí</w:t>
      </w:r>
      <w:r w:rsidRPr="00656979">
        <w:rPr>
          <w:rFonts w:ascii="Calibri" w:hAnsi="Calibri" w:cs="Calibri"/>
          <w:sz w:val="22"/>
        </w:rPr>
        <w:t xml:space="preserve"> okamžik, kdy je publikace přijata k publikování. U monografií jde zpravidla o moment podpisu licenční smlouvy</w:t>
      </w:r>
      <w:r>
        <w:rPr>
          <w:rFonts w:ascii="Calibri" w:hAnsi="Calibri" w:cs="Calibri"/>
          <w:sz w:val="22"/>
        </w:rPr>
        <w:t xml:space="preserve"> s vydavatelem</w:t>
      </w:r>
      <w:r w:rsidRPr="00656979">
        <w:rPr>
          <w:rFonts w:ascii="Calibri" w:hAnsi="Calibri" w:cs="Calibri"/>
          <w:sz w:val="22"/>
        </w:rPr>
        <w:t>, u kapitol v knize moment přijetí kapitoly k tisku ze strany editora/editorů či vydavatele, u článk</w:t>
      </w:r>
      <w:r>
        <w:rPr>
          <w:rFonts w:ascii="Calibri" w:hAnsi="Calibri" w:cs="Calibri"/>
          <w:sz w:val="22"/>
        </w:rPr>
        <w:t>ů</w:t>
      </w:r>
      <w:r w:rsidRPr="00656979">
        <w:rPr>
          <w:rFonts w:ascii="Calibri" w:hAnsi="Calibri" w:cs="Calibri"/>
          <w:sz w:val="22"/>
        </w:rPr>
        <w:t xml:space="preserve"> moment přijetí textu k publikování. Za přijaté nelze pokládat rukopisy</w:t>
      </w:r>
      <w:r>
        <w:rPr>
          <w:rFonts w:ascii="Calibri" w:hAnsi="Calibri" w:cs="Calibri"/>
          <w:sz w:val="22"/>
        </w:rPr>
        <w:t>, které byly pouze</w:t>
      </w:r>
      <w:r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p>
    <w:p w14:paraId="6834EBBB" w14:textId="77777777" w:rsidR="00B92E65" w:rsidRDefault="00B92E65" w:rsidP="00B92E65">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 xml:space="preserve">V případě, že řešitel (v případě týmových projektů jen hlavní řešitelé) k datu ukončení řešení projektu nemá všechny slíbené výstupy, k jejichž vytvoření se v rámci projektu zavázal, ve stavu publikovaný či přijatý k publikování, začne mu běžet tříletá lhůta, kterou má na dodatečné splnění projektu. Během této lhůty se však nemůže ucházet o další podporu v rámci S1. Jeho projekt je po tu dobu označen jako „v odkladu hodnocení“.  </w:t>
      </w:r>
    </w:p>
    <w:p w14:paraId="51445327" w14:textId="77777777" w:rsidR="00B92E65" w:rsidRPr="00CE10E5" w:rsidRDefault="00B92E65" w:rsidP="00B92E65">
      <w:pPr>
        <w:pStyle w:val="Odstavecseseznamem"/>
        <w:numPr>
          <w:ilvl w:val="0"/>
          <w:numId w:val="18"/>
        </w:numPr>
        <w:autoSpaceDE w:val="0"/>
        <w:autoSpaceDN w:val="0"/>
        <w:adjustRightInd w:val="0"/>
        <w:spacing w:line="240" w:lineRule="auto"/>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„nesplněný“. Po dobu následujících tří let nemůže </w:t>
      </w:r>
      <w:r w:rsidRPr="00656979">
        <w:rPr>
          <w:rFonts w:ascii="Calibri" w:hAnsi="Calibri" w:cs="Calibri"/>
          <w:sz w:val="22"/>
        </w:rPr>
        <w:t>čerpat žádnou z forem podpory FPVČ</w:t>
      </w:r>
      <w:r>
        <w:rPr>
          <w:rFonts w:ascii="Calibri" w:hAnsi="Calibri" w:cs="Calibri"/>
          <w:sz w:val="22"/>
        </w:rPr>
        <w:t>.</w:t>
      </w:r>
    </w:p>
    <w:p w14:paraId="61726FCF" w14:textId="77777777" w:rsidR="00B92E65" w:rsidRPr="00656979" w:rsidRDefault="00B92E65" w:rsidP="00285527">
      <w:pPr>
        <w:autoSpaceDE w:val="0"/>
        <w:autoSpaceDN w:val="0"/>
        <w:adjustRightInd w:val="0"/>
        <w:spacing w:line="240" w:lineRule="auto"/>
        <w:jc w:val="both"/>
        <w:rPr>
          <w:rFonts w:ascii="Calibri" w:hAnsi="Calibri" w:cs="Calibri"/>
          <w:b/>
          <w:bCs/>
          <w:sz w:val="22"/>
        </w:rPr>
      </w:pPr>
    </w:p>
    <w:p w14:paraId="18CCBF4A" w14:textId="77777777" w:rsidR="00285527" w:rsidRPr="00656979" w:rsidRDefault="00285527" w:rsidP="00285527">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 xml:space="preserve">PŘÍLOHA: </w:t>
      </w:r>
      <w:r w:rsidRPr="00656979">
        <w:rPr>
          <w:rFonts w:ascii="Calibri" w:hAnsi="Calibri" w:cs="Calibri"/>
          <w:b/>
          <w:bCs/>
          <w:color w:val="2E74B5" w:themeColor="accent1" w:themeShade="BF"/>
          <w:sz w:val="28"/>
          <w:szCs w:val="28"/>
        </w:rPr>
        <w:t>DEFINICE STRATEGICKÝCH VÝSTUPŮ</w:t>
      </w:r>
    </w:p>
    <w:p w14:paraId="32E77639" w14:textId="77777777" w:rsidR="003756EB" w:rsidRPr="00656979" w:rsidRDefault="003756EB" w:rsidP="003756EB">
      <w:pPr>
        <w:autoSpaceDE w:val="0"/>
        <w:autoSpaceDN w:val="0"/>
        <w:adjustRightInd w:val="0"/>
        <w:spacing w:line="240" w:lineRule="auto"/>
        <w:jc w:val="both"/>
        <w:rPr>
          <w:rFonts w:ascii="Calibri" w:hAnsi="Calibri" w:cs="Calibri"/>
          <w:b/>
          <w:bCs/>
          <w:sz w:val="22"/>
        </w:rPr>
      </w:pPr>
    </w:p>
    <w:p w14:paraId="74AF4743"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034DDE63" w14:textId="77777777" w:rsidR="003756EB" w:rsidRDefault="003756EB" w:rsidP="003756EB">
      <w:pPr>
        <w:autoSpaceDE w:val="0"/>
        <w:autoSpaceDN w:val="0"/>
        <w:adjustRightInd w:val="0"/>
        <w:spacing w:line="240" w:lineRule="auto"/>
        <w:jc w:val="both"/>
        <w:rPr>
          <w:rFonts w:ascii="Calibri" w:hAnsi="Calibri" w:cs="Calibri"/>
          <w:sz w:val="22"/>
        </w:rPr>
      </w:pPr>
    </w:p>
    <w:p w14:paraId="5D5937FB" w14:textId="77777777"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of Science a Scopus, dále pak též v odborných knihách kategorie B1/C1 a B2/C2. </w:t>
      </w:r>
    </w:p>
    <w:p w14:paraId="42C584FB" w14:textId="6B17F81F"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of Science, včetně </w:t>
      </w:r>
      <w:r w:rsidRPr="001368A0">
        <w:rPr>
          <w:rFonts w:ascii="Calibri" w:hAnsi="Calibri" w:cs="Calibri"/>
          <w:color w:val="000000"/>
          <w:sz w:val="22"/>
        </w:rPr>
        <w:t xml:space="preserve">Arts &amp; Humanities Citation Index a Emerging Sources Citation Index </w:t>
      </w:r>
      <w:r w:rsidR="00423234">
        <w:rPr>
          <w:rFonts w:ascii="Calibri" w:hAnsi="Calibri" w:cs="Calibri"/>
          <w:color w:val="000000"/>
          <w:sz w:val="22"/>
        </w:rPr>
        <w:t>či</w:t>
      </w:r>
      <w:r w:rsidRPr="001368A0">
        <w:rPr>
          <w:rFonts w:ascii="Calibri" w:hAnsi="Calibri" w:cs="Calibri"/>
          <w:color w:val="000000"/>
          <w:sz w:val="22"/>
        </w:rPr>
        <w:t xml:space="preserve"> Scopus.</w:t>
      </w:r>
    </w:p>
    <w:p w14:paraId="2E8B7823"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78CA038"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1"/>
      </w:r>
      <w:r w:rsidRPr="00656979">
        <w:rPr>
          <w:rFonts w:ascii="Calibri" w:hAnsi="Calibri" w:cs="Calibri"/>
          <w:sz w:val="22"/>
        </w:rPr>
        <w:t xml:space="preserve"> vědeckovýzkumných výsledků:</w:t>
      </w:r>
    </w:p>
    <w:p w14:paraId="28EB6574" w14:textId="77777777" w:rsidR="003756EB" w:rsidRPr="00656979" w:rsidRDefault="003756EB" w:rsidP="003756EB">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3756EB" w:rsidRPr="00656979" w14:paraId="33E9522C" w14:textId="77777777" w:rsidTr="00BB4C28">
        <w:tc>
          <w:tcPr>
            <w:tcW w:w="8472" w:type="dxa"/>
          </w:tcPr>
          <w:p w14:paraId="699FD633" w14:textId="77777777" w:rsidR="003756EB" w:rsidRPr="00656979" w:rsidRDefault="003756EB" w:rsidP="00BB4C28">
            <w:pPr>
              <w:autoSpaceDE w:val="0"/>
              <w:autoSpaceDN w:val="0"/>
              <w:adjustRightInd w:val="0"/>
              <w:spacing w:line="240" w:lineRule="auto"/>
              <w:jc w:val="both"/>
              <w:rPr>
                <w:rFonts w:ascii="Calibri" w:hAnsi="Calibri" w:cs="Calibri"/>
                <w:sz w:val="22"/>
              </w:rPr>
            </w:pPr>
            <w:r w:rsidRPr="00656979">
              <w:rPr>
                <w:rFonts w:ascii="Calibri" w:hAnsi="Calibri" w:cs="Calibri"/>
                <w:sz w:val="22"/>
              </w:rPr>
              <w:t>Článek v impaktovaném časopise ve WoS (J</w:t>
            </w:r>
            <w:r w:rsidRPr="00656979">
              <w:rPr>
                <w:rFonts w:ascii="Calibri" w:hAnsi="Calibri" w:cs="Calibri"/>
                <w:sz w:val="22"/>
                <w:vertAlign w:val="subscript"/>
              </w:rPr>
              <w:t>imp</w:t>
            </w:r>
            <w:r w:rsidRPr="00656979">
              <w:rPr>
                <w:rFonts w:ascii="Calibri" w:hAnsi="Calibri" w:cs="Calibri"/>
                <w:sz w:val="22"/>
              </w:rPr>
              <w:t>)</w:t>
            </w:r>
          </w:p>
        </w:tc>
      </w:tr>
      <w:tr w:rsidR="003756EB" w:rsidRPr="00656979" w14:paraId="03B2B6DE" w14:textId="77777777" w:rsidTr="00BB4C28">
        <w:tc>
          <w:tcPr>
            <w:tcW w:w="8472" w:type="dxa"/>
          </w:tcPr>
          <w:p w14:paraId="19022E3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Arts &amp; Humanities Citation Index (bez AIS) (</w:t>
            </w:r>
            <w:r w:rsidRPr="00656979">
              <w:rPr>
                <w:rFonts w:ascii="Calibri" w:hAnsi="Calibri" w:cs="Calibri"/>
                <w:color w:val="000000"/>
                <w:sz w:val="22"/>
                <w:vertAlign w:val="subscript"/>
              </w:rPr>
              <w:t>Jimp AHCI</w:t>
            </w:r>
            <w:r w:rsidRPr="00656979">
              <w:rPr>
                <w:rFonts w:ascii="Calibri" w:hAnsi="Calibri" w:cs="Calibri"/>
                <w:color w:val="000000"/>
                <w:sz w:val="22"/>
              </w:rPr>
              <w:t>)</w:t>
            </w:r>
          </w:p>
        </w:tc>
      </w:tr>
      <w:tr w:rsidR="003756EB" w:rsidRPr="00656979" w14:paraId="6C9D39D1" w14:textId="77777777" w:rsidTr="00BB4C28">
        <w:tc>
          <w:tcPr>
            <w:tcW w:w="8472" w:type="dxa"/>
          </w:tcPr>
          <w:p w14:paraId="7A1E047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Emerging Sources Citation Index (J</w:t>
            </w:r>
            <w:r w:rsidRPr="00656979">
              <w:rPr>
                <w:rFonts w:ascii="Calibri" w:hAnsi="Calibri" w:cs="Calibri"/>
                <w:color w:val="000000"/>
                <w:sz w:val="22"/>
                <w:vertAlign w:val="subscript"/>
              </w:rPr>
              <w:t>imp ESCI</w:t>
            </w:r>
            <w:r w:rsidRPr="00656979">
              <w:rPr>
                <w:rFonts w:ascii="Calibri" w:hAnsi="Calibri" w:cs="Calibri"/>
                <w:color w:val="000000"/>
                <w:sz w:val="22"/>
              </w:rPr>
              <w:t>)</w:t>
            </w:r>
          </w:p>
        </w:tc>
      </w:tr>
      <w:tr w:rsidR="003756EB" w:rsidRPr="00656979" w14:paraId="6C187A30" w14:textId="77777777" w:rsidTr="00BB4C28">
        <w:tc>
          <w:tcPr>
            <w:tcW w:w="8472" w:type="dxa"/>
          </w:tcPr>
          <w:p w14:paraId="66BFEDF3"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3756EB" w:rsidRPr="00656979" w14:paraId="63CF4D27" w14:textId="77777777" w:rsidTr="00BB4C28">
        <w:tc>
          <w:tcPr>
            <w:tcW w:w="8472" w:type="dxa"/>
          </w:tcPr>
          <w:p w14:paraId="02146765"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prestižním zahraničním recenzovaném časopise s mezinárodním dopadem mimo WoS a Scopus (</w:t>
            </w:r>
            <w:r w:rsidRPr="00656979">
              <w:rPr>
                <w:rFonts w:ascii="Calibri" w:hAnsi="Calibri" w:cs="Calibri"/>
                <w:sz w:val="22"/>
              </w:rPr>
              <w:t>J</w:t>
            </w:r>
            <w:r w:rsidRPr="00656979">
              <w:rPr>
                <w:rFonts w:ascii="Calibri" w:hAnsi="Calibri" w:cs="Calibri"/>
                <w:sz w:val="22"/>
                <w:vertAlign w:val="subscript"/>
              </w:rPr>
              <w:t>ost 1</w:t>
            </w:r>
            <w:r w:rsidRPr="00656979">
              <w:rPr>
                <w:rFonts w:ascii="Calibri" w:hAnsi="Calibri" w:cs="Calibri"/>
                <w:color w:val="000000"/>
                <w:sz w:val="22"/>
              </w:rPr>
              <w:t xml:space="preserve">) </w:t>
            </w:r>
          </w:p>
        </w:tc>
      </w:tr>
      <w:tr w:rsidR="003756EB" w:rsidRPr="00656979" w14:paraId="18C2BC26" w14:textId="77777777" w:rsidTr="00BB4C28">
        <w:trPr>
          <w:trHeight w:val="160"/>
        </w:trPr>
        <w:tc>
          <w:tcPr>
            <w:tcW w:w="8472" w:type="dxa"/>
          </w:tcPr>
          <w:p w14:paraId="22CFCB9B"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3756EB" w:rsidRPr="00656979" w14:paraId="25986747" w14:textId="77777777" w:rsidTr="00BB4C28">
        <w:tc>
          <w:tcPr>
            <w:tcW w:w="8472" w:type="dxa"/>
          </w:tcPr>
          <w:p w14:paraId="01B8B22F"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3756EB" w:rsidRPr="00656979" w14:paraId="4F34CB71" w14:textId="77777777" w:rsidTr="00BB4C28">
        <w:tc>
          <w:tcPr>
            <w:tcW w:w="8472" w:type="dxa"/>
          </w:tcPr>
          <w:p w14:paraId="62BEDD18"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3756EB" w:rsidRPr="00656979" w14:paraId="01B513FA" w14:textId="77777777" w:rsidTr="00BB4C28">
        <w:tc>
          <w:tcPr>
            <w:tcW w:w="8472" w:type="dxa"/>
          </w:tcPr>
          <w:p w14:paraId="376D9334"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3756EB" w:rsidRPr="00656979" w14:paraId="206A51AD" w14:textId="77777777" w:rsidTr="00BB4C28">
        <w:tc>
          <w:tcPr>
            <w:tcW w:w="8472" w:type="dxa"/>
          </w:tcPr>
          <w:p w14:paraId="1ACC0862"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3756EB" w:rsidRPr="00656979" w14:paraId="164A2241" w14:textId="77777777" w:rsidTr="00BB4C28">
        <w:tc>
          <w:tcPr>
            <w:tcW w:w="8472" w:type="dxa"/>
          </w:tcPr>
          <w:p w14:paraId="29CC1B90"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3756EB" w:rsidRPr="00656979" w14:paraId="639EDCBF" w14:textId="77777777" w:rsidTr="00BB4C28">
        <w:tc>
          <w:tcPr>
            <w:tcW w:w="8472" w:type="dxa"/>
          </w:tcPr>
          <w:p w14:paraId="3510E145" w14:textId="11724552"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sidR="009B2452">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 xml:space="preserve">(world-leading) </w:t>
            </w:r>
            <w:r w:rsidRPr="00656979">
              <w:rPr>
                <w:rFonts w:ascii="Calibri" w:hAnsi="Calibri" w:cs="Calibri"/>
                <w:color w:val="000000"/>
                <w:sz w:val="22"/>
              </w:rPr>
              <w:t xml:space="preserve">a 2 </w:t>
            </w:r>
            <w:r w:rsidRPr="00656979">
              <w:rPr>
                <w:rFonts w:ascii="Calibri" w:hAnsi="Calibri" w:cs="Calibri"/>
                <w:sz w:val="22"/>
              </w:rPr>
              <w:t>(excellent)</w:t>
            </w:r>
            <w:r w:rsidRPr="00656979">
              <w:rPr>
                <w:rFonts w:ascii="Calibri" w:hAnsi="Calibri" w:cs="Calibri"/>
                <w:color w:val="000000"/>
                <w:sz w:val="22"/>
              </w:rPr>
              <w:t>.</w:t>
            </w:r>
          </w:p>
        </w:tc>
      </w:tr>
    </w:tbl>
    <w:p w14:paraId="60876C91"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465CE711" w14:textId="77777777" w:rsidR="003756EB" w:rsidRPr="00656979" w:rsidRDefault="003756EB" w:rsidP="003756EB">
      <w:pPr>
        <w:autoSpaceDE w:val="0"/>
        <w:autoSpaceDN w:val="0"/>
        <w:adjustRightInd w:val="0"/>
        <w:spacing w:line="240" w:lineRule="auto"/>
        <w:jc w:val="both"/>
        <w:rPr>
          <w:rFonts w:ascii="Calibri" w:hAnsi="Calibri" w:cs="Calibri"/>
          <w:b/>
          <w:bCs/>
          <w:szCs w:val="24"/>
        </w:rPr>
      </w:pPr>
    </w:p>
    <w:p w14:paraId="751962B2"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2"/>
      </w:r>
    </w:p>
    <w:p w14:paraId="69EC399A"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266ABB5D"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7A2A045"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4EB6DD3"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36E13409"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789604D3"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2E43FE67" w14:textId="77777777" w:rsidR="003756EB" w:rsidRPr="00656979" w:rsidRDefault="003756EB" w:rsidP="003756EB">
      <w:pPr>
        <w:jc w:val="both"/>
        <w:rPr>
          <w:rFonts w:ascii="Calibri" w:hAnsi="Calibri" w:cs="Calibri"/>
          <w:sz w:val="22"/>
        </w:rPr>
      </w:pPr>
    </w:p>
    <w:p w14:paraId="018370B1" w14:textId="77777777" w:rsidR="003756EB" w:rsidRPr="00656979" w:rsidRDefault="003756EB" w:rsidP="003756EB">
      <w:pPr>
        <w:jc w:val="both"/>
        <w:rPr>
          <w:rFonts w:ascii="Calibri" w:hAnsi="Calibri" w:cs="Calibri"/>
          <w:sz w:val="22"/>
        </w:rPr>
      </w:pPr>
    </w:p>
    <w:p w14:paraId="2A86DD6A"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3"/>
      </w:r>
    </w:p>
    <w:p w14:paraId="12E8FE4F"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0F70D0AA" w14:textId="1196B10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(world-leading),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7601CF2D"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E75E97F" w14:textId="5D122572"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(excellent), jehož využití v praxi přinese změnu s mezinárodním ekonomickým dopadem (reálný předpoklad uplatnění na zahraničním trhu atd.) nebo změnu s 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4C8B7DD6"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1E674646"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7AFFA280" w14:textId="77777777" w:rsidR="003756EB" w:rsidRDefault="003756EB" w:rsidP="003756EB">
      <w:pPr>
        <w:autoSpaceDE w:val="0"/>
        <w:autoSpaceDN w:val="0"/>
        <w:adjustRightInd w:val="0"/>
        <w:spacing w:line="240" w:lineRule="auto"/>
        <w:jc w:val="both"/>
        <w:rPr>
          <w:rFonts w:ascii="Calibri" w:hAnsi="Calibri" w:cs="Calibri"/>
          <w:sz w:val="22"/>
        </w:rPr>
      </w:pPr>
    </w:p>
    <w:p w14:paraId="3C09F5BF"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52573EE" w14:textId="77777777" w:rsidR="003756EB" w:rsidRPr="00395ED0" w:rsidRDefault="003756EB" w:rsidP="003756EB">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68DD5F9A" w14:textId="77777777" w:rsidR="003756EB" w:rsidRDefault="003756EB" w:rsidP="003756EB">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0FA9979A" w14:textId="48362784" w:rsidR="003756EB" w:rsidRPr="00C53646" w:rsidRDefault="003756EB" w:rsidP="003756EB">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EE68BA">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78299DB3" w14:textId="77777777" w:rsidR="003756EB" w:rsidRPr="00656979" w:rsidRDefault="003756EB" w:rsidP="003756EB">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6"/>
      </w:r>
    </w:p>
    <w:p w14:paraId="6F93C30D" w14:textId="77777777" w:rsidR="003756EB" w:rsidRPr="00656979" w:rsidRDefault="003756EB" w:rsidP="003756EB">
      <w:pPr>
        <w:jc w:val="both"/>
        <w:rPr>
          <w:rFonts w:ascii="Calibri" w:hAnsi="Calibri" w:cs="Calibri"/>
          <w:sz w:val="22"/>
        </w:rPr>
      </w:pPr>
    </w:p>
    <w:p w14:paraId="12AEC0A3" w14:textId="77777777" w:rsidR="003756EB" w:rsidRPr="00656979" w:rsidRDefault="003756EB" w:rsidP="003756EB">
      <w:pPr>
        <w:jc w:val="both"/>
        <w:rPr>
          <w:rFonts w:ascii="Calibri" w:hAnsi="Calibri" w:cs="Calibri"/>
          <w:sz w:val="22"/>
        </w:rPr>
      </w:pPr>
    </w:p>
    <w:p w14:paraId="173AD371" w14:textId="77777777" w:rsidR="00C1131C" w:rsidRPr="00656979" w:rsidRDefault="00C1131C" w:rsidP="00C1131C">
      <w:pPr>
        <w:jc w:val="both"/>
        <w:rPr>
          <w:rFonts w:ascii="Calibri" w:hAnsi="Calibri" w:cs="Calibri"/>
          <w:sz w:val="22"/>
        </w:rPr>
      </w:pPr>
    </w:p>
    <w:p w14:paraId="46CE4CE6" w14:textId="401B4C6A" w:rsidR="00C1131C" w:rsidRPr="00656979" w:rsidRDefault="00C1131C" w:rsidP="00C1131C">
      <w:pPr>
        <w:jc w:val="both"/>
        <w:rPr>
          <w:rFonts w:ascii="Calibri" w:hAnsi="Calibri" w:cs="Calibri"/>
          <w:sz w:val="22"/>
        </w:rPr>
      </w:pPr>
      <w:r w:rsidRPr="00656979">
        <w:rPr>
          <w:rFonts w:ascii="Calibri" w:hAnsi="Calibri" w:cs="Calibri"/>
          <w:sz w:val="22"/>
        </w:rPr>
        <w:t xml:space="preserve">Datum: </w:t>
      </w:r>
      <w:r w:rsidR="00707EAE">
        <w:rPr>
          <w:rFonts w:ascii="Calibri" w:hAnsi="Calibri" w:cs="Calibri"/>
          <w:sz w:val="22"/>
        </w:rPr>
        <w:t>1</w:t>
      </w:r>
      <w:r>
        <w:rPr>
          <w:rFonts w:ascii="Calibri" w:hAnsi="Calibri" w:cs="Calibri"/>
          <w:sz w:val="22"/>
        </w:rPr>
        <w:t xml:space="preserve">. </w:t>
      </w:r>
      <w:r w:rsidR="00707EAE">
        <w:rPr>
          <w:rFonts w:ascii="Calibri" w:hAnsi="Calibri" w:cs="Calibri"/>
          <w:sz w:val="22"/>
        </w:rPr>
        <w:t xml:space="preserve">června </w:t>
      </w:r>
      <w:r>
        <w:rPr>
          <w:rFonts w:ascii="Calibri" w:hAnsi="Calibri" w:cs="Calibri"/>
          <w:sz w:val="22"/>
        </w:rPr>
        <w:t>202</w:t>
      </w:r>
      <w:r w:rsidR="001B3BEE">
        <w:rPr>
          <w:rFonts w:ascii="Calibri" w:hAnsi="Calibri" w:cs="Calibri"/>
          <w:sz w:val="22"/>
        </w:rPr>
        <w:t>3</w:t>
      </w:r>
    </w:p>
    <w:p w14:paraId="7368EBE4" w14:textId="77777777" w:rsidR="00C1131C" w:rsidRDefault="00C1131C" w:rsidP="00C1131C">
      <w:pPr>
        <w:jc w:val="both"/>
        <w:rPr>
          <w:rFonts w:ascii="Calibri" w:hAnsi="Calibri" w:cs="Calibri"/>
          <w:sz w:val="22"/>
        </w:rPr>
      </w:pPr>
    </w:p>
    <w:p w14:paraId="2DB47689" w14:textId="191264EA" w:rsidR="00CE35A1" w:rsidRDefault="00C1131C" w:rsidP="00CE35A1">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CE35A1">
        <w:rPr>
          <w:rFonts w:ascii="Calibri" w:hAnsi="Calibri" w:cs="Calibri"/>
          <w:sz w:val="22"/>
        </w:rPr>
        <w:tab/>
      </w:r>
      <w:r>
        <w:rPr>
          <w:rFonts w:ascii="Calibri" w:hAnsi="Calibri" w:cs="Calibri"/>
          <w:sz w:val="22"/>
        </w:rPr>
        <w:t>doc. Mgr. Jan Stejskal, M.A., Ph.D.,</w:t>
      </w:r>
      <w:r w:rsidR="00CE35A1">
        <w:rPr>
          <w:rFonts w:ascii="Calibri" w:hAnsi="Calibri" w:cs="Calibri"/>
          <w:sz w:val="22"/>
        </w:rPr>
        <w:t xml:space="preserve"> v. r.</w:t>
      </w:r>
      <w:r>
        <w:rPr>
          <w:rFonts w:ascii="Calibri" w:hAnsi="Calibri" w:cs="Calibri"/>
          <w:sz w:val="22"/>
        </w:rPr>
        <w:t xml:space="preserve"> </w:t>
      </w:r>
    </w:p>
    <w:p w14:paraId="1B2E8FF4" w14:textId="181830F1" w:rsidR="00C1131C" w:rsidRDefault="00CE35A1" w:rsidP="00CE35A1">
      <w:pPr>
        <w:ind w:left="4956" w:firstLine="708"/>
        <w:rPr>
          <w:rFonts w:ascii="Calibri" w:hAnsi="Calibri" w:cs="Calibri"/>
          <w:sz w:val="22"/>
        </w:rPr>
      </w:pPr>
      <w:r>
        <w:rPr>
          <w:rFonts w:ascii="Calibri" w:hAnsi="Calibri" w:cs="Calibri"/>
          <w:sz w:val="22"/>
        </w:rPr>
        <w:t xml:space="preserve">        </w:t>
      </w:r>
      <w:r w:rsidR="00C1131C">
        <w:rPr>
          <w:rFonts w:ascii="Calibri" w:hAnsi="Calibri" w:cs="Calibri"/>
          <w:sz w:val="22"/>
        </w:rPr>
        <w:t>děkan FF UP</w:t>
      </w:r>
    </w:p>
    <w:p w14:paraId="1160D8C9" w14:textId="77777777" w:rsidR="00285527" w:rsidRDefault="00285527" w:rsidP="00285527">
      <w:pPr>
        <w:jc w:val="both"/>
        <w:rPr>
          <w:rFonts w:ascii="Calibri" w:hAnsi="Calibri" w:cs="Calibri"/>
          <w:sz w:val="22"/>
        </w:rPr>
      </w:pPr>
    </w:p>
    <w:p w14:paraId="7DF260DB" w14:textId="77777777" w:rsidR="00CE10E5" w:rsidRDefault="00CE10E5">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4B694FE4" w14:textId="52180130" w:rsidR="00285527" w:rsidRDefault="00285527" w:rsidP="00285527">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222AB280" w14:textId="77777777" w:rsidR="00285527" w:rsidRDefault="00285527" w:rsidP="00285527">
      <w:pPr>
        <w:jc w:val="both"/>
        <w:rPr>
          <w:rFonts w:ascii="Calibri" w:hAnsi="Calibri" w:cs="Calibri"/>
          <w:b/>
          <w:bCs/>
          <w:color w:val="2E74B5" w:themeColor="accent1" w:themeShade="BF"/>
          <w:sz w:val="36"/>
          <w:szCs w:val="36"/>
        </w:rPr>
      </w:pPr>
    </w:p>
    <w:p w14:paraId="5B0E95B7" w14:textId="038C4E41" w:rsidR="00285527" w:rsidRPr="00285527" w:rsidRDefault="00285527" w:rsidP="00285527">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1B3BEE">
        <w:rPr>
          <w:rFonts w:asciiTheme="minorHAnsi" w:hAnsiTheme="minorHAnsi" w:cstheme="minorHAnsi"/>
          <w:b/>
          <w:bCs/>
          <w:i w:val="0"/>
          <w:iCs w:val="0"/>
          <w:color w:val="2E74B5" w:themeColor="accent1" w:themeShade="BF"/>
          <w:sz w:val="52"/>
          <w:szCs w:val="52"/>
        </w:rPr>
        <w:t>3</w:t>
      </w:r>
    </w:p>
    <w:p w14:paraId="599276AE" w14:textId="42427AD6" w:rsidR="00285527" w:rsidRPr="00482B05" w:rsidRDefault="00285527" w:rsidP="00285527">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v rámci </w:t>
      </w:r>
      <w:r w:rsidR="00860527">
        <w:rPr>
          <w:rFonts w:ascii="Calibri" w:hAnsi="Calibri" w:cs="Calibri"/>
          <w:b/>
          <w:bCs/>
          <w:color w:val="2E74B5" w:themeColor="accent1" w:themeShade="BF"/>
          <w:sz w:val="36"/>
          <w:szCs w:val="36"/>
        </w:rPr>
        <w:t>S1</w:t>
      </w:r>
      <w:r w:rsidRPr="00482B05">
        <w:rPr>
          <w:rFonts w:ascii="Calibri" w:hAnsi="Calibri" w:cs="Calibri"/>
          <w:b/>
          <w:bCs/>
          <w:color w:val="2E74B5" w:themeColor="accent1" w:themeShade="BF"/>
          <w:sz w:val="36"/>
          <w:szCs w:val="36"/>
        </w:rPr>
        <w:t>: Podpora přípravy vědeckých výstupů</w:t>
      </w:r>
    </w:p>
    <w:p w14:paraId="62DFCBF3" w14:textId="77777777" w:rsidR="00285527" w:rsidRDefault="00285527" w:rsidP="00285527">
      <w:pPr>
        <w:spacing w:line="259" w:lineRule="auto"/>
        <w:rPr>
          <w:rFonts w:ascii="Calibri" w:hAnsi="Calibri" w:cs="Calibri"/>
          <w:sz w:val="22"/>
        </w:rPr>
      </w:pPr>
    </w:p>
    <w:p w14:paraId="3EA001D8" w14:textId="77777777" w:rsidR="00285527" w:rsidRPr="00285527" w:rsidRDefault="00285527" w:rsidP="00285527">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p w14:paraId="1B7389C5" w14:textId="77777777" w:rsidR="00285527" w:rsidRDefault="00285527" w:rsidP="00285527">
      <w:pPr>
        <w:spacing w:line="259" w:lineRule="auto"/>
        <w:rPr>
          <w:rFonts w:ascii="Calibri" w:hAnsi="Calibri" w:cs="Calibri"/>
          <w:b/>
          <w:bCs/>
          <w:color w:val="2E74B5" w:themeColor="accent1" w:themeShade="BF"/>
          <w:sz w:val="28"/>
          <w:szCs w:val="28"/>
        </w:rPr>
      </w:pPr>
    </w:p>
    <w:tbl>
      <w:tblPr>
        <w:tblStyle w:val="Mkatabulky"/>
        <w:tblW w:w="0" w:type="auto"/>
        <w:tblLook w:val="04A0" w:firstRow="1" w:lastRow="0" w:firstColumn="1" w:lastColumn="0" w:noHBand="0" w:noVBand="1"/>
      </w:tblPr>
      <w:tblGrid>
        <w:gridCol w:w="2350"/>
        <w:gridCol w:w="6427"/>
      </w:tblGrid>
      <w:tr w:rsidR="00285527" w:rsidRPr="00620C7E" w14:paraId="74499EEA" w14:textId="77777777" w:rsidTr="007E0E3C">
        <w:tc>
          <w:tcPr>
            <w:tcW w:w="2376" w:type="dxa"/>
            <w:shd w:val="clear" w:color="auto" w:fill="DEEAF6" w:themeFill="accent1" w:themeFillTint="33"/>
          </w:tcPr>
          <w:p w14:paraId="3A791D4A" w14:textId="7306D2B9" w:rsidR="00285527" w:rsidRPr="00620C7E" w:rsidRDefault="00285527" w:rsidP="007E0E3C">
            <w:pPr>
              <w:pStyle w:val="Nadpis8"/>
              <w:spacing w:line="259" w:lineRule="auto"/>
              <w:outlineLvl w:val="7"/>
            </w:pPr>
            <w:r w:rsidRPr="00620C7E">
              <w:t>Jméno, příjmení, tituly</w:t>
            </w:r>
            <w:r w:rsidR="007E0E3C">
              <w:t>:</w:t>
            </w:r>
          </w:p>
        </w:tc>
        <w:tc>
          <w:tcPr>
            <w:tcW w:w="6551" w:type="dxa"/>
          </w:tcPr>
          <w:p w14:paraId="536567BD" w14:textId="77777777" w:rsidR="00285527" w:rsidRPr="00620C7E" w:rsidRDefault="00285527" w:rsidP="007E0E3C">
            <w:pPr>
              <w:spacing w:line="259" w:lineRule="auto"/>
              <w:rPr>
                <w:rFonts w:asciiTheme="minorHAnsi" w:hAnsiTheme="minorHAnsi" w:cstheme="minorHAnsi"/>
                <w:sz w:val="22"/>
              </w:rPr>
            </w:pPr>
          </w:p>
        </w:tc>
      </w:tr>
      <w:tr w:rsidR="00285527" w:rsidRPr="00620C7E" w14:paraId="3EFF150C" w14:textId="77777777" w:rsidTr="007E0E3C">
        <w:tc>
          <w:tcPr>
            <w:tcW w:w="2376" w:type="dxa"/>
            <w:shd w:val="clear" w:color="auto" w:fill="DEEAF6" w:themeFill="accent1" w:themeFillTint="33"/>
          </w:tcPr>
          <w:p w14:paraId="47626E5E" w14:textId="321537B4"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sidR="007E0E3C">
              <w:rPr>
                <w:rFonts w:asciiTheme="minorHAnsi" w:hAnsiTheme="minorHAnsi" w:cstheme="minorHAnsi"/>
                <w:b/>
                <w:bCs/>
                <w:sz w:val="22"/>
              </w:rPr>
              <w:t>:</w:t>
            </w:r>
          </w:p>
        </w:tc>
        <w:tc>
          <w:tcPr>
            <w:tcW w:w="6551" w:type="dxa"/>
          </w:tcPr>
          <w:p w14:paraId="2630F3A0" w14:textId="77777777" w:rsidR="00285527" w:rsidRPr="00620C7E" w:rsidRDefault="00285527" w:rsidP="007E0E3C">
            <w:pPr>
              <w:spacing w:line="259" w:lineRule="auto"/>
              <w:rPr>
                <w:rFonts w:asciiTheme="minorHAnsi" w:hAnsiTheme="minorHAnsi" w:cstheme="minorHAnsi"/>
                <w:sz w:val="22"/>
              </w:rPr>
            </w:pPr>
          </w:p>
        </w:tc>
      </w:tr>
    </w:tbl>
    <w:p w14:paraId="5AD7319E"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2"/>
        <w:gridCol w:w="6415"/>
      </w:tblGrid>
      <w:tr w:rsidR="00285527" w:rsidRPr="00620C7E" w14:paraId="29303D34" w14:textId="77777777" w:rsidTr="007E0E3C">
        <w:tc>
          <w:tcPr>
            <w:tcW w:w="2376" w:type="dxa"/>
            <w:shd w:val="clear" w:color="auto" w:fill="DEEAF6" w:themeFill="accent1" w:themeFillTint="33"/>
          </w:tcPr>
          <w:p w14:paraId="0C976673"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Název projektu:</w:t>
            </w:r>
          </w:p>
        </w:tc>
        <w:tc>
          <w:tcPr>
            <w:tcW w:w="6551" w:type="dxa"/>
          </w:tcPr>
          <w:p w14:paraId="2741FA68" w14:textId="77777777" w:rsidR="00285527" w:rsidRPr="00620C7E" w:rsidRDefault="00285527" w:rsidP="007E0E3C">
            <w:pPr>
              <w:spacing w:line="259" w:lineRule="auto"/>
              <w:rPr>
                <w:rFonts w:asciiTheme="minorHAnsi" w:hAnsiTheme="minorHAnsi" w:cstheme="minorHAnsi"/>
                <w:sz w:val="22"/>
              </w:rPr>
            </w:pPr>
          </w:p>
        </w:tc>
      </w:tr>
      <w:tr w:rsidR="00285527" w:rsidRPr="00620C7E" w14:paraId="1ED93FBF" w14:textId="77777777" w:rsidTr="007E0E3C">
        <w:tc>
          <w:tcPr>
            <w:tcW w:w="2376" w:type="dxa"/>
            <w:shd w:val="clear" w:color="auto" w:fill="DEEAF6" w:themeFill="accent1" w:themeFillTint="33"/>
          </w:tcPr>
          <w:p w14:paraId="3AA8AA1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Délka řešení:</w:t>
            </w:r>
          </w:p>
        </w:tc>
        <w:tc>
          <w:tcPr>
            <w:tcW w:w="6551" w:type="dxa"/>
          </w:tcPr>
          <w:p w14:paraId="73910E29" w14:textId="5C5AD80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A6A6A6" w:themeColor="background1" w:themeShade="A6"/>
                <w:sz w:val="22"/>
              </w:rPr>
              <w:t>1–3 roky (tj. 202</w:t>
            </w:r>
            <w:r w:rsidR="001264C7">
              <w:rPr>
                <w:rFonts w:asciiTheme="minorHAnsi" w:hAnsiTheme="minorHAnsi" w:cstheme="minorHAnsi"/>
                <w:color w:val="A6A6A6" w:themeColor="background1" w:themeShade="A6"/>
                <w:sz w:val="22"/>
              </w:rPr>
              <w:t>4</w:t>
            </w:r>
            <w:r w:rsidRPr="00620C7E">
              <w:rPr>
                <w:rFonts w:asciiTheme="minorHAnsi" w:hAnsiTheme="minorHAnsi" w:cstheme="minorHAnsi"/>
                <w:color w:val="A6A6A6" w:themeColor="background1" w:themeShade="A6"/>
                <w:sz w:val="22"/>
              </w:rPr>
              <w:t>, 202</w:t>
            </w:r>
            <w:r w:rsidR="001264C7">
              <w:rPr>
                <w:rFonts w:asciiTheme="minorHAnsi" w:hAnsiTheme="minorHAnsi" w:cstheme="minorHAnsi"/>
                <w:color w:val="A6A6A6" w:themeColor="background1" w:themeShade="A6"/>
                <w:sz w:val="22"/>
              </w:rPr>
              <w:t>5</w:t>
            </w:r>
            <w:r w:rsidRPr="00620C7E">
              <w:rPr>
                <w:rFonts w:asciiTheme="minorHAnsi" w:hAnsiTheme="minorHAnsi" w:cstheme="minorHAnsi"/>
                <w:color w:val="A6A6A6" w:themeColor="background1" w:themeShade="A6"/>
                <w:sz w:val="22"/>
              </w:rPr>
              <w:t>, 202</w:t>
            </w:r>
            <w:r w:rsidR="001264C7">
              <w:rPr>
                <w:rFonts w:asciiTheme="minorHAnsi" w:hAnsiTheme="minorHAnsi" w:cstheme="minorHAnsi"/>
                <w:color w:val="A6A6A6" w:themeColor="background1" w:themeShade="A6"/>
                <w:sz w:val="22"/>
              </w:rPr>
              <w:t>6</w:t>
            </w:r>
            <w:r w:rsidRPr="00620C7E">
              <w:rPr>
                <w:rFonts w:asciiTheme="minorHAnsi" w:hAnsiTheme="minorHAnsi" w:cstheme="minorHAnsi"/>
                <w:color w:val="A6A6A6" w:themeColor="background1" w:themeShade="A6"/>
                <w:sz w:val="22"/>
              </w:rPr>
              <w:t>)</w:t>
            </w:r>
          </w:p>
        </w:tc>
      </w:tr>
      <w:tr w:rsidR="00285527" w:rsidRPr="00620C7E" w14:paraId="42F3C18D" w14:textId="77777777" w:rsidTr="007E0E3C">
        <w:tc>
          <w:tcPr>
            <w:tcW w:w="2376" w:type="dxa"/>
            <w:shd w:val="clear" w:color="auto" w:fill="DEEAF6" w:themeFill="accent1" w:themeFillTint="33"/>
          </w:tcPr>
          <w:p w14:paraId="0F6F37D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Výčet případných spolupracovníků:</w:t>
            </w:r>
          </w:p>
        </w:tc>
        <w:tc>
          <w:tcPr>
            <w:tcW w:w="6551" w:type="dxa"/>
          </w:tcPr>
          <w:p w14:paraId="38BCED98"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A6A6A6" w:themeColor="background1" w:themeShade="A6"/>
                <w:sz w:val="22"/>
              </w:rPr>
              <w:t>výčtem za sebe včetně titulů</w:t>
            </w:r>
          </w:p>
        </w:tc>
      </w:tr>
    </w:tbl>
    <w:p w14:paraId="1C551631" w14:textId="77777777" w:rsidR="00285527" w:rsidRPr="00620C7E" w:rsidRDefault="00285527" w:rsidP="00285527">
      <w:pPr>
        <w:spacing w:line="259" w:lineRule="auto"/>
        <w:rPr>
          <w:rFonts w:asciiTheme="minorHAnsi" w:hAnsiTheme="minorHAnsi" w:cstheme="minorHAnsi"/>
          <w:sz w:val="22"/>
        </w:rPr>
      </w:pPr>
    </w:p>
    <w:p w14:paraId="074112B9" w14:textId="77777777" w:rsidR="00285527" w:rsidRPr="00620C7E" w:rsidRDefault="00285527" w:rsidP="00285527">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vědecké výstupy:</w:t>
      </w:r>
    </w:p>
    <w:tbl>
      <w:tblPr>
        <w:tblStyle w:val="Mkatabulky"/>
        <w:tblW w:w="0" w:type="auto"/>
        <w:tblLook w:val="04A0" w:firstRow="1" w:lastRow="0" w:firstColumn="1" w:lastColumn="0" w:noHBand="0" w:noVBand="1"/>
      </w:tblPr>
      <w:tblGrid>
        <w:gridCol w:w="6253"/>
        <w:gridCol w:w="2524"/>
      </w:tblGrid>
      <w:tr w:rsidR="00285527" w:rsidRPr="00620C7E" w14:paraId="62C65B89" w14:textId="77777777" w:rsidTr="007E0E3C">
        <w:tc>
          <w:tcPr>
            <w:tcW w:w="6345" w:type="dxa"/>
            <w:shd w:val="clear" w:color="auto" w:fill="DEEAF6" w:themeFill="accent1" w:themeFillTint="33"/>
          </w:tcPr>
          <w:p w14:paraId="6677EA2B"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215F5ED8"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Počet výstupů dané kategorie:</w:t>
            </w:r>
          </w:p>
        </w:tc>
      </w:tr>
      <w:tr w:rsidR="00285527" w:rsidRPr="00620C7E" w14:paraId="32D033A4" w14:textId="77777777" w:rsidTr="007E0E3C">
        <w:tc>
          <w:tcPr>
            <w:tcW w:w="6345" w:type="dxa"/>
            <w:shd w:val="clear" w:color="auto" w:fill="DEEAF6" w:themeFill="accent1" w:themeFillTint="33"/>
          </w:tcPr>
          <w:p w14:paraId="6EB27327"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1. kvartilu</w:t>
            </w:r>
          </w:p>
        </w:tc>
        <w:tc>
          <w:tcPr>
            <w:tcW w:w="2552" w:type="dxa"/>
          </w:tcPr>
          <w:p w14:paraId="4EF89DF2" w14:textId="77777777" w:rsidR="00285527" w:rsidRPr="00620C7E" w:rsidRDefault="00285527" w:rsidP="007E0E3C">
            <w:pPr>
              <w:spacing w:line="259" w:lineRule="auto"/>
              <w:rPr>
                <w:rFonts w:asciiTheme="minorHAnsi" w:hAnsiTheme="minorHAnsi" w:cstheme="minorHAnsi"/>
                <w:sz w:val="22"/>
              </w:rPr>
            </w:pPr>
          </w:p>
        </w:tc>
      </w:tr>
      <w:tr w:rsidR="00285527" w:rsidRPr="00620C7E" w14:paraId="26DDA853" w14:textId="77777777" w:rsidTr="007E0E3C">
        <w:tc>
          <w:tcPr>
            <w:tcW w:w="6345" w:type="dxa"/>
            <w:shd w:val="clear" w:color="auto" w:fill="DEEAF6" w:themeFill="accent1" w:themeFillTint="33"/>
          </w:tcPr>
          <w:p w14:paraId="7859F58A"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2–4. kvartilu</w:t>
            </w:r>
          </w:p>
        </w:tc>
        <w:tc>
          <w:tcPr>
            <w:tcW w:w="2552" w:type="dxa"/>
          </w:tcPr>
          <w:p w14:paraId="2E2D9C9B" w14:textId="77777777" w:rsidR="00285527" w:rsidRPr="00620C7E" w:rsidRDefault="00285527" w:rsidP="007E0E3C">
            <w:pPr>
              <w:spacing w:line="259" w:lineRule="auto"/>
              <w:rPr>
                <w:rFonts w:asciiTheme="minorHAnsi" w:hAnsiTheme="minorHAnsi" w:cstheme="minorHAnsi"/>
                <w:sz w:val="22"/>
              </w:rPr>
            </w:pPr>
          </w:p>
        </w:tc>
      </w:tr>
      <w:tr w:rsidR="00285527" w:rsidRPr="00620C7E" w14:paraId="65260BDC" w14:textId="77777777" w:rsidTr="007E0E3C">
        <w:tc>
          <w:tcPr>
            <w:tcW w:w="6345" w:type="dxa"/>
            <w:shd w:val="clear" w:color="auto" w:fill="DEEAF6" w:themeFill="accent1" w:themeFillTint="33"/>
          </w:tcPr>
          <w:p w14:paraId="208F2C9B"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ve WoS v Arts &amp; Humanities Citation Index (bez AIS) (</w:t>
            </w:r>
            <w:r w:rsidRPr="00620C7E">
              <w:rPr>
                <w:rFonts w:asciiTheme="minorHAnsi" w:hAnsiTheme="minorHAnsi" w:cstheme="minorHAnsi"/>
                <w:color w:val="000000"/>
                <w:sz w:val="22"/>
                <w:vertAlign w:val="subscript"/>
              </w:rPr>
              <w:t>Jimp AHCI</w:t>
            </w:r>
            <w:r w:rsidRPr="00620C7E">
              <w:rPr>
                <w:rFonts w:asciiTheme="minorHAnsi" w:hAnsiTheme="minorHAnsi" w:cstheme="minorHAnsi"/>
                <w:color w:val="000000"/>
                <w:sz w:val="22"/>
              </w:rPr>
              <w:t>), ve WoS v Emerging Sources Citation Index (J</w:t>
            </w:r>
            <w:r w:rsidRPr="00620C7E">
              <w:rPr>
                <w:rFonts w:asciiTheme="minorHAnsi" w:hAnsiTheme="minorHAnsi" w:cstheme="minorHAnsi"/>
                <w:color w:val="000000"/>
                <w:sz w:val="22"/>
                <w:vertAlign w:val="subscript"/>
              </w:rPr>
              <w:t>imp ESCI</w:t>
            </w:r>
            <w:r w:rsidRPr="00620C7E">
              <w:rPr>
                <w:rFonts w:asciiTheme="minorHAnsi" w:hAnsiTheme="minorHAnsi" w:cstheme="minorHAnsi"/>
                <w:color w:val="000000"/>
                <w:sz w:val="22"/>
              </w:rPr>
              <w:t>)</w:t>
            </w:r>
          </w:p>
        </w:tc>
        <w:tc>
          <w:tcPr>
            <w:tcW w:w="2552" w:type="dxa"/>
          </w:tcPr>
          <w:p w14:paraId="2FAEEF7B" w14:textId="77777777" w:rsidR="00285527" w:rsidRPr="00620C7E" w:rsidRDefault="00285527" w:rsidP="007E0E3C">
            <w:pPr>
              <w:spacing w:line="259" w:lineRule="auto"/>
              <w:rPr>
                <w:rFonts w:asciiTheme="minorHAnsi" w:hAnsiTheme="minorHAnsi" w:cstheme="minorHAnsi"/>
                <w:sz w:val="22"/>
              </w:rPr>
            </w:pPr>
          </w:p>
        </w:tc>
      </w:tr>
      <w:tr w:rsidR="00285527" w:rsidRPr="00620C7E" w14:paraId="5B90FAD6" w14:textId="77777777" w:rsidTr="007E0E3C">
        <w:tc>
          <w:tcPr>
            <w:tcW w:w="6345" w:type="dxa"/>
            <w:shd w:val="clear" w:color="auto" w:fill="DEEAF6" w:themeFill="accent1" w:themeFillTint="33"/>
          </w:tcPr>
          <w:p w14:paraId="7FA1F061"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028FA3F1" w14:textId="77777777" w:rsidR="00285527" w:rsidRPr="00620C7E" w:rsidRDefault="00285527" w:rsidP="007E0E3C">
            <w:pPr>
              <w:spacing w:line="259" w:lineRule="auto"/>
              <w:rPr>
                <w:rFonts w:asciiTheme="minorHAnsi" w:hAnsiTheme="minorHAnsi" w:cstheme="minorHAnsi"/>
                <w:sz w:val="22"/>
              </w:rPr>
            </w:pPr>
          </w:p>
        </w:tc>
      </w:tr>
      <w:tr w:rsidR="00285527" w:rsidRPr="00620C7E" w14:paraId="1F083059" w14:textId="77777777" w:rsidTr="007E0E3C">
        <w:tc>
          <w:tcPr>
            <w:tcW w:w="6345" w:type="dxa"/>
            <w:shd w:val="clear" w:color="auto" w:fill="DEEAF6" w:themeFill="accent1" w:themeFillTint="33"/>
          </w:tcPr>
          <w:p w14:paraId="63F3DCFA"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prestižním zahraničním recenzovaném časopise s mezinárodním dopadem mimo WoS a Scopus (</w:t>
            </w:r>
            <w:r w:rsidRPr="00620C7E">
              <w:rPr>
                <w:rFonts w:asciiTheme="minorHAnsi" w:hAnsiTheme="minorHAnsi" w:cstheme="minorHAnsi"/>
                <w:sz w:val="22"/>
              </w:rPr>
              <w:t>J</w:t>
            </w:r>
            <w:r w:rsidRPr="00620C7E">
              <w:rPr>
                <w:rFonts w:asciiTheme="minorHAnsi" w:hAnsiTheme="minorHAnsi" w:cstheme="minorHAnsi"/>
                <w:sz w:val="22"/>
                <w:vertAlign w:val="subscript"/>
              </w:rPr>
              <w:t>ost 1</w:t>
            </w:r>
            <w:r w:rsidRPr="00620C7E">
              <w:rPr>
                <w:rFonts w:asciiTheme="minorHAnsi" w:hAnsiTheme="minorHAnsi" w:cstheme="minorHAnsi"/>
                <w:color w:val="000000"/>
                <w:sz w:val="22"/>
              </w:rPr>
              <w:t xml:space="preserve">) </w:t>
            </w:r>
          </w:p>
        </w:tc>
        <w:tc>
          <w:tcPr>
            <w:tcW w:w="2552" w:type="dxa"/>
          </w:tcPr>
          <w:p w14:paraId="1D714F9E" w14:textId="77777777" w:rsidR="00285527" w:rsidRPr="00620C7E" w:rsidRDefault="00285527" w:rsidP="007E0E3C">
            <w:pPr>
              <w:spacing w:line="259" w:lineRule="auto"/>
              <w:rPr>
                <w:rFonts w:asciiTheme="minorHAnsi" w:hAnsiTheme="minorHAnsi" w:cstheme="minorHAnsi"/>
                <w:sz w:val="22"/>
              </w:rPr>
            </w:pPr>
          </w:p>
        </w:tc>
      </w:tr>
      <w:tr w:rsidR="00285527" w:rsidRPr="00620C7E" w14:paraId="07C3AC08" w14:textId="77777777" w:rsidTr="007E0E3C">
        <w:tc>
          <w:tcPr>
            <w:tcW w:w="6345" w:type="dxa"/>
            <w:shd w:val="clear" w:color="auto" w:fill="DEEAF6" w:themeFill="accent1" w:themeFillTint="33"/>
          </w:tcPr>
          <w:p w14:paraId="183398E8"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0E7DB634" w14:textId="77777777" w:rsidR="00285527" w:rsidRPr="00620C7E" w:rsidRDefault="00285527" w:rsidP="007E0E3C">
            <w:pPr>
              <w:spacing w:line="259" w:lineRule="auto"/>
              <w:rPr>
                <w:rFonts w:asciiTheme="minorHAnsi" w:hAnsiTheme="minorHAnsi" w:cstheme="minorHAnsi"/>
                <w:sz w:val="22"/>
              </w:rPr>
            </w:pPr>
          </w:p>
        </w:tc>
      </w:tr>
      <w:tr w:rsidR="00285527" w:rsidRPr="00620C7E" w14:paraId="49F033F7" w14:textId="77777777" w:rsidTr="007E0E3C">
        <w:tc>
          <w:tcPr>
            <w:tcW w:w="6345" w:type="dxa"/>
            <w:shd w:val="clear" w:color="auto" w:fill="DEEAF6" w:themeFill="accent1" w:themeFillTint="33"/>
          </w:tcPr>
          <w:p w14:paraId="78AB58CA"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607A2BD3" w14:textId="77777777" w:rsidR="00285527" w:rsidRPr="00620C7E" w:rsidRDefault="00285527" w:rsidP="007E0E3C">
            <w:pPr>
              <w:spacing w:line="259" w:lineRule="auto"/>
              <w:rPr>
                <w:rFonts w:asciiTheme="minorHAnsi" w:hAnsiTheme="minorHAnsi" w:cstheme="minorHAnsi"/>
                <w:sz w:val="22"/>
              </w:rPr>
            </w:pPr>
          </w:p>
        </w:tc>
      </w:tr>
      <w:tr w:rsidR="00285527" w:rsidRPr="00620C7E" w14:paraId="04592E1E" w14:textId="77777777" w:rsidTr="007E0E3C">
        <w:tc>
          <w:tcPr>
            <w:tcW w:w="6345" w:type="dxa"/>
            <w:shd w:val="clear" w:color="auto" w:fill="DEEAF6" w:themeFill="accent1" w:themeFillTint="33"/>
          </w:tcPr>
          <w:p w14:paraId="1F065D4E"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52363341" w14:textId="77777777" w:rsidR="00285527" w:rsidRPr="00620C7E" w:rsidRDefault="00285527" w:rsidP="007E0E3C">
            <w:pPr>
              <w:spacing w:line="259" w:lineRule="auto"/>
              <w:rPr>
                <w:rFonts w:asciiTheme="minorHAnsi" w:hAnsiTheme="minorHAnsi" w:cstheme="minorHAnsi"/>
                <w:sz w:val="22"/>
              </w:rPr>
            </w:pPr>
          </w:p>
        </w:tc>
      </w:tr>
      <w:tr w:rsidR="00285527" w:rsidRPr="00620C7E" w14:paraId="469EEE65" w14:textId="77777777" w:rsidTr="007E0E3C">
        <w:tc>
          <w:tcPr>
            <w:tcW w:w="6345" w:type="dxa"/>
            <w:shd w:val="clear" w:color="auto" w:fill="DEEAF6" w:themeFill="accent1" w:themeFillTint="33"/>
          </w:tcPr>
          <w:p w14:paraId="6C4ADEC8"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0F518D1B" w14:textId="77777777" w:rsidR="00285527" w:rsidRPr="00620C7E" w:rsidRDefault="00285527" w:rsidP="007E0E3C">
            <w:pPr>
              <w:spacing w:line="259" w:lineRule="auto"/>
              <w:rPr>
                <w:rFonts w:asciiTheme="minorHAnsi" w:hAnsiTheme="minorHAnsi" w:cstheme="minorHAnsi"/>
                <w:sz w:val="22"/>
              </w:rPr>
            </w:pPr>
          </w:p>
        </w:tc>
      </w:tr>
      <w:tr w:rsidR="00285527" w:rsidRPr="00620C7E" w14:paraId="4612C243" w14:textId="77777777" w:rsidTr="007E0E3C">
        <w:tc>
          <w:tcPr>
            <w:tcW w:w="6345" w:type="dxa"/>
            <w:shd w:val="clear" w:color="auto" w:fill="DEEAF6" w:themeFill="accent1" w:themeFillTint="33"/>
          </w:tcPr>
          <w:p w14:paraId="5A2C6B43"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751BC99F" w14:textId="77777777" w:rsidR="00285527" w:rsidRPr="00620C7E" w:rsidRDefault="00285527" w:rsidP="007E0E3C">
            <w:pPr>
              <w:spacing w:line="259" w:lineRule="auto"/>
              <w:rPr>
                <w:rFonts w:asciiTheme="minorHAnsi" w:hAnsiTheme="minorHAnsi" w:cstheme="minorHAnsi"/>
                <w:sz w:val="22"/>
              </w:rPr>
            </w:pPr>
          </w:p>
        </w:tc>
      </w:tr>
      <w:tr w:rsidR="00285527" w:rsidRPr="00620C7E" w14:paraId="6E4E82FC" w14:textId="77777777" w:rsidTr="007E0E3C">
        <w:tc>
          <w:tcPr>
            <w:tcW w:w="6345" w:type="dxa"/>
            <w:shd w:val="clear" w:color="auto" w:fill="DEEAF6" w:themeFill="accent1" w:themeFillTint="33"/>
          </w:tcPr>
          <w:p w14:paraId="58B35496" w14:textId="77777777" w:rsidR="00285527" w:rsidRPr="00620C7E" w:rsidRDefault="00285527"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72C0ECEF" w14:textId="77777777" w:rsidR="00285527" w:rsidRPr="00620C7E" w:rsidRDefault="00285527" w:rsidP="007E0E3C">
            <w:pPr>
              <w:spacing w:line="259" w:lineRule="auto"/>
              <w:rPr>
                <w:rFonts w:asciiTheme="minorHAnsi" w:hAnsiTheme="minorHAnsi" w:cstheme="minorHAnsi"/>
                <w:sz w:val="22"/>
              </w:rPr>
            </w:pPr>
          </w:p>
        </w:tc>
      </w:tr>
    </w:tbl>
    <w:p w14:paraId="5503E89E" w14:textId="77777777" w:rsidR="00285527" w:rsidRPr="00620C7E" w:rsidRDefault="00285527" w:rsidP="00285527">
      <w:pPr>
        <w:spacing w:line="259" w:lineRule="auto"/>
        <w:rPr>
          <w:rFonts w:asciiTheme="minorHAnsi" w:hAnsiTheme="minorHAnsi" w:cstheme="minorHAnsi"/>
          <w:sz w:val="22"/>
        </w:rPr>
      </w:pPr>
    </w:p>
    <w:p w14:paraId="11FFE4F8"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285527" w:rsidRPr="00620C7E" w14:paraId="0EF54110" w14:textId="77777777" w:rsidTr="007E0E3C">
        <w:tc>
          <w:tcPr>
            <w:tcW w:w="8927" w:type="dxa"/>
            <w:shd w:val="clear" w:color="auto" w:fill="DEEAF6" w:themeFill="accent1" w:themeFillTint="33"/>
          </w:tcPr>
          <w:p w14:paraId="20FFC354"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Stručný popis projektu (max. 20 řádků): </w:t>
            </w:r>
          </w:p>
        </w:tc>
      </w:tr>
      <w:tr w:rsidR="00285527" w:rsidRPr="00620C7E" w14:paraId="410C6269" w14:textId="77777777" w:rsidTr="007E0E3C">
        <w:tc>
          <w:tcPr>
            <w:tcW w:w="8927" w:type="dxa"/>
          </w:tcPr>
          <w:p w14:paraId="71CDCA97" w14:textId="1961A7EF" w:rsidR="00285527" w:rsidRPr="00101E5F" w:rsidRDefault="00285527" w:rsidP="007E0E3C">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w:t>
            </w:r>
            <w:r w:rsidR="00A06A03">
              <w:rPr>
                <w:rFonts w:asciiTheme="minorHAnsi" w:hAnsiTheme="minorHAnsi" w:cstheme="minorHAnsi"/>
                <w:color w:val="A6A6A6" w:themeColor="background1" w:themeShade="A6"/>
                <w:sz w:val="22"/>
              </w:rPr>
              <w:t xml:space="preserve"> to</w:t>
            </w:r>
            <w:r w:rsidRPr="00101E5F">
              <w:rPr>
                <w:rFonts w:asciiTheme="minorHAnsi" w:hAnsiTheme="minorHAnsi" w:cstheme="minorHAnsi"/>
                <w:color w:val="A6A6A6" w:themeColor="background1" w:themeShade="A6"/>
                <w:sz w:val="22"/>
              </w:rPr>
              <w:t>, co je cílem projektu</w:t>
            </w:r>
            <w:r w:rsidR="00A06A03">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a popsat předpokládané výstupy projektu</w:t>
            </w:r>
            <w:r>
              <w:rPr>
                <w:rFonts w:asciiTheme="minorHAnsi" w:hAnsiTheme="minorHAnsi" w:cstheme="minorHAnsi"/>
                <w:color w:val="A6A6A6" w:themeColor="background1" w:themeShade="A6"/>
                <w:sz w:val="22"/>
              </w:rPr>
              <w:t xml:space="preserve"> (včetně plánovaného vydavatele a jazyka vydání) a zdůvodnit, v čem bude spočívat jejich kvalita a vědecký přínos.</w:t>
            </w:r>
          </w:p>
          <w:p w14:paraId="7EE20381" w14:textId="77777777" w:rsidR="00285527" w:rsidRPr="00620C7E" w:rsidRDefault="00285527" w:rsidP="007E0E3C">
            <w:pPr>
              <w:spacing w:line="259" w:lineRule="auto"/>
              <w:rPr>
                <w:rFonts w:asciiTheme="minorHAnsi" w:hAnsiTheme="minorHAnsi" w:cstheme="minorHAnsi"/>
                <w:sz w:val="22"/>
              </w:rPr>
            </w:pPr>
          </w:p>
          <w:p w14:paraId="3FAD676C" w14:textId="77777777" w:rsidR="00285527" w:rsidRPr="00620C7E" w:rsidRDefault="00285527" w:rsidP="007E0E3C">
            <w:pPr>
              <w:spacing w:line="259" w:lineRule="auto"/>
              <w:rPr>
                <w:rFonts w:asciiTheme="minorHAnsi" w:hAnsiTheme="minorHAnsi" w:cstheme="minorHAnsi"/>
                <w:sz w:val="22"/>
              </w:rPr>
            </w:pPr>
          </w:p>
          <w:p w14:paraId="7A6561F0" w14:textId="77777777" w:rsidR="00285527" w:rsidRPr="00620C7E" w:rsidRDefault="00285527" w:rsidP="007E0E3C">
            <w:pPr>
              <w:spacing w:line="259" w:lineRule="auto"/>
              <w:rPr>
                <w:rFonts w:asciiTheme="minorHAnsi" w:hAnsiTheme="minorHAnsi" w:cstheme="minorHAnsi"/>
                <w:sz w:val="22"/>
              </w:rPr>
            </w:pPr>
          </w:p>
          <w:p w14:paraId="1E6B2DE0" w14:textId="77777777" w:rsidR="00285527" w:rsidRPr="00620C7E" w:rsidRDefault="00285527" w:rsidP="007E0E3C">
            <w:pPr>
              <w:spacing w:line="259" w:lineRule="auto"/>
              <w:rPr>
                <w:rFonts w:asciiTheme="minorHAnsi" w:hAnsiTheme="minorHAnsi" w:cstheme="minorHAnsi"/>
                <w:sz w:val="22"/>
              </w:rPr>
            </w:pPr>
          </w:p>
          <w:p w14:paraId="10CB9D41" w14:textId="77777777" w:rsidR="00285527" w:rsidRPr="00620C7E" w:rsidRDefault="00285527" w:rsidP="007E0E3C">
            <w:pPr>
              <w:spacing w:line="259" w:lineRule="auto"/>
              <w:rPr>
                <w:rFonts w:asciiTheme="minorHAnsi" w:hAnsiTheme="minorHAnsi" w:cstheme="minorHAnsi"/>
                <w:sz w:val="22"/>
              </w:rPr>
            </w:pPr>
          </w:p>
          <w:p w14:paraId="6E5C86E6" w14:textId="77777777" w:rsidR="00285527" w:rsidRPr="00620C7E" w:rsidRDefault="00285527" w:rsidP="007E0E3C">
            <w:pPr>
              <w:spacing w:line="259" w:lineRule="auto"/>
              <w:rPr>
                <w:rFonts w:asciiTheme="minorHAnsi" w:hAnsiTheme="minorHAnsi" w:cstheme="minorHAnsi"/>
                <w:sz w:val="22"/>
              </w:rPr>
            </w:pPr>
          </w:p>
          <w:p w14:paraId="6EB01FE9" w14:textId="77777777" w:rsidR="00285527" w:rsidRPr="00620C7E" w:rsidRDefault="00285527" w:rsidP="007E0E3C">
            <w:pPr>
              <w:spacing w:line="259" w:lineRule="auto"/>
              <w:rPr>
                <w:rFonts w:asciiTheme="minorHAnsi" w:hAnsiTheme="minorHAnsi" w:cstheme="minorHAnsi"/>
                <w:sz w:val="22"/>
              </w:rPr>
            </w:pPr>
          </w:p>
          <w:p w14:paraId="75C51F4F" w14:textId="77777777" w:rsidR="00285527" w:rsidRPr="00620C7E" w:rsidRDefault="00285527" w:rsidP="007E0E3C">
            <w:pPr>
              <w:spacing w:line="259" w:lineRule="auto"/>
              <w:rPr>
                <w:rFonts w:asciiTheme="minorHAnsi" w:hAnsiTheme="minorHAnsi" w:cstheme="minorHAnsi"/>
                <w:sz w:val="22"/>
              </w:rPr>
            </w:pPr>
          </w:p>
          <w:p w14:paraId="264F08AB" w14:textId="77777777" w:rsidR="00285527" w:rsidRPr="00620C7E" w:rsidRDefault="00285527" w:rsidP="007E0E3C">
            <w:pPr>
              <w:spacing w:line="259" w:lineRule="auto"/>
              <w:rPr>
                <w:rFonts w:asciiTheme="minorHAnsi" w:hAnsiTheme="minorHAnsi" w:cstheme="minorHAnsi"/>
                <w:sz w:val="22"/>
              </w:rPr>
            </w:pPr>
          </w:p>
        </w:tc>
      </w:tr>
    </w:tbl>
    <w:p w14:paraId="13282B44"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02"/>
        <w:gridCol w:w="2177"/>
        <w:gridCol w:w="2199"/>
        <w:gridCol w:w="2199"/>
      </w:tblGrid>
      <w:tr w:rsidR="00285527" w:rsidRPr="00620C7E" w14:paraId="64EAFA32" w14:textId="77777777" w:rsidTr="007E0E3C">
        <w:tc>
          <w:tcPr>
            <w:tcW w:w="2231" w:type="dxa"/>
            <w:shd w:val="clear" w:color="auto" w:fill="DEEAF6" w:themeFill="accent1" w:themeFillTint="33"/>
          </w:tcPr>
          <w:p w14:paraId="0710905F" w14:textId="77777777" w:rsidR="00285527" w:rsidRPr="00620C7E" w:rsidRDefault="00285527" w:rsidP="007E0E3C">
            <w:pPr>
              <w:spacing w:line="259" w:lineRule="auto"/>
              <w:rPr>
                <w:rFonts w:asciiTheme="minorHAnsi" w:hAnsiTheme="minorHAnsi" w:cstheme="minorHAnsi"/>
                <w:sz w:val="22"/>
              </w:rPr>
            </w:pPr>
          </w:p>
        </w:tc>
        <w:tc>
          <w:tcPr>
            <w:tcW w:w="2232" w:type="dxa"/>
            <w:shd w:val="clear" w:color="auto" w:fill="DEEAF6" w:themeFill="accent1" w:themeFillTint="33"/>
          </w:tcPr>
          <w:p w14:paraId="217F36A0"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1. rok</w:t>
            </w:r>
          </w:p>
        </w:tc>
        <w:tc>
          <w:tcPr>
            <w:tcW w:w="2232" w:type="dxa"/>
            <w:shd w:val="clear" w:color="auto" w:fill="DEEAF6" w:themeFill="accent1" w:themeFillTint="33"/>
          </w:tcPr>
          <w:p w14:paraId="285F4EC0"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2.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6B5CDF2F"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3.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r w:rsidRPr="00620C7E">
              <w:rPr>
                <w:rFonts w:asciiTheme="minorHAnsi" w:hAnsiTheme="minorHAnsi" w:cstheme="minorHAnsi"/>
                <w:sz w:val="22"/>
              </w:rPr>
              <w:t>)</w:t>
            </w:r>
          </w:p>
        </w:tc>
      </w:tr>
      <w:tr w:rsidR="00285527" w:rsidRPr="00620C7E" w14:paraId="60491D2D" w14:textId="77777777" w:rsidTr="007E0E3C">
        <w:tc>
          <w:tcPr>
            <w:tcW w:w="2231" w:type="dxa"/>
            <w:shd w:val="clear" w:color="auto" w:fill="DEEAF6" w:themeFill="accent1" w:themeFillTint="33"/>
          </w:tcPr>
          <w:p w14:paraId="258D2E33" w14:textId="67CEF758"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w:t>
            </w:r>
            <w:r w:rsidR="007E0E3C">
              <w:rPr>
                <w:rFonts w:asciiTheme="minorHAnsi" w:hAnsiTheme="minorHAnsi" w:cstheme="minorHAnsi"/>
                <w:b/>
                <w:bCs/>
                <w:sz w:val="22"/>
              </w:rPr>
              <w:t>:</w:t>
            </w:r>
          </w:p>
        </w:tc>
        <w:tc>
          <w:tcPr>
            <w:tcW w:w="2232" w:type="dxa"/>
          </w:tcPr>
          <w:p w14:paraId="343232CB" w14:textId="77777777" w:rsidR="00285527" w:rsidRPr="00620C7E" w:rsidRDefault="00285527" w:rsidP="007E0E3C">
            <w:pPr>
              <w:spacing w:line="259" w:lineRule="auto"/>
              <w:rPr>
                <w:rFonts w:asciiTheme="minorHAnsi" w:hAnsiTheme="minorHAnsi" w:cstheme="minorHAnsi"/>
                <w:sz w:val="22"/>
              </w:rPr>
            </w:pPr>
          </w:p>
        </w:tc>
        <w:tc>
          <w:tcPr>
            <w:tcW w:w="2232" w:type="dxa"/>
          </w:tcPr>
          <w:p w14:paraId="04D36E8A" w14:textId="77777777" w:rsidR="00285527" w:rsidRPr="00620C7E" w:rsidRDefault="00285527" w:rsidP="007E0E3C">
            <w:pPr>
              <w:spacing w:line="259" w:lineRule="auto"/>
              <w:rPr>
                <w:rFonts w:asciiTheme="minorHAnsi" w:hAnsiTheme="minorHAnsi" w:cstheme="minorHAnsi"/>
                <w:sz w:val="22"/>
              </w:rPr>
            </w:pPr>
          </w:p>
        </w:tc>
        <w:tc>
          <w:tcPr>
            <w:tcW w:w="2232" w:type="dxa"/>
          </w:tcPr>
          <w:p w14:paraId="3E4460FA" w14:textId="77777777" w:rsidR="00285527" w:rsidRPr="00620C7E" w:rsidRDefault="00285527" w:rsidP="007E0E3C">
            <w:pPr>
              <w:spacing w:line="259" w:lineRule="auto"/>
              <w:rPr>
                <w:rFonts w:asciiTheme="minorHAnsi" w:hAnsiTheme="minorHAnsi" w:cstheme="minorHAnsi"/>
                <w:sz w:val="22"/>
              </w:rPr>
            </w:pPr>
          </w:p>
        </w:tc>
      </w:tr>
    </w:tbl>
    <w:p w14:paraId="6FF136B0" w14:textId="77777777" w:rsidR="00285527" w:rsidRPr="00620C7E" w:rsidRDefault="00285527" w:rsidP="0028552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01"/>
        <w:gridCol w:w="5876"/>
      </w:tblGrid>
      <w:tr w:rsidR="00285527" w:rsidRPr="00620C7E" w14:paraId="1368C242" w14:textId="77777777" w:rsidTr="007E0E3C">
        <w:tc>
          <w:tcPr>
            <w:tcW w:w="8927" w:type="dxa"/>
            <w:gridSpan w:val="2"/>
            <w:shd w:val="clear" w:color="auto" w:fill="DEEAF6" w:themeFill="accent1" w:themeFillTint="33"/>
          </w:tcPr>
          <w:p w14:paraId="13CBFAFF"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 na všechny tři roky řešení:</w:t>
            </w:r>
          </w:p>
        </w:tc>
      </w:tr>
      <w:tr w:rsidR="00285527" w:rsidRPr="00620C7E" w14:paraId="6D9B8F3D" w14:textId="77777777" w:rsidTr="007E0E3C">
        <w:tc>
          <w:tcPr>
            <w:tcW w:w="2943" w:type="dxa"/>
            <w:shd w:val="clear" w:color="auto" w:fill="DEEAF6" w:themeFill="accent1" w:themeFillTint="33"/>
          </w:tcPr>
          <w:p w14:paraId="34F12B9A" w14:textId="77777777" w:rsidR="00285527" w:rsidRPr="00620C7E" w:rsidRDefault="00285527"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1. rok</w:t>
            </w:r>
          </w:p>
        </w:tc>
        <w:tc>
          <w:tcPr>
            <w:tcW w:w="5984" w:type="dxa"/>
          </w:tcPr>
          <w:p w14:paraId="232293AE" w14:textId="77777777" w:rsidR="00285527" w:rsidRPr="00620C7E"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xml:space="preserve">např. </w:t>
            </w:r>
          </w:p>
          <w:p w14:paraId="008840CC" w14:textId="77777777" w:rsidR="00285527" w:rsidRPr="00620C7E"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- 15 tis.: překlad textu do francouzského jazyka</w:t>
            </w:r>
          </w:p>
          <w:p w14:paraId="062A89A3" w14:textId="77777777" w:rsidR="00285527" w:rsidRDefault="00285527" w:rsidP="007E0E3C">
            <w:pPr>
              <w:spacing w:line="259" w:lineRule="auto"/>
              <w:rPr>
                <w:rFonts w:asciiTheme="minorHAnsi" w:hAnsiTheme="minorHAnsi" w:cstheme="minorHAnsi"/>
                <w:color w:val="A6A6A6" w:themeColor="background1" w:themeShade="A6"/>
                <w:sz w:val="22"/>
              </w:rPr>
            </w:pPr>
            <w:r w:rsidRPr="00620C7E">
              <w:rPr>
                <w:rFonts w:asciiTheme="minorHAnsi" w:hAnsiTheme="minorHAnsi" w:cstheme="minorHAnsi"/>
                <w:color w:val="A6A6A6" w:themeColor="background1" w:themeShade="A6"/>
                <w:sz w:val="22"/>
              </w:rPr>
              <w:t>- 8 tis.: reprodukční práva za obrazové přílohy</w:t>
            </w:r>
          </w:p>
          <w:p w14:paraId="28EED62F" w14:textId="77777777" w:rsidR="00285527" w:rsidRPr="00620C7E" w:rsidRDefault="00285527" w:rsidP="007E0E3C">
            <w:pPr>
              <w:spacing w:line="259" w:lineRule="auto"/>
              <w:rPr>
                <w:rFonts w:asciiTheme="minorHAnsi" w:hAnsiTheme="minorHAnsi" w:cstheme="minorHAnsi"/>
                <w:sz w:val="22"/>
              </w:rPr>
            </w:pPr>
            <w:r>
              <w:rPr>
                <w:rFonts w:asciiTheme="minorHAnsi" w:hAnsiTheme="minorHAnsi" w:cstheme="minorHAnsi"/>
                <w:color w:val="A6A6A6" w:themeColor="background1" w:themeShade="A6"/>
                <w:sz w:val="22"/>
              </w:rPr>
              <w:t>- 2 tis.: cestovné tuzemské</w:t>
            </w:r>
          </w:p>
        </w:tc>
      </w:tr>
      <w:tr w:rsidR="00285527" w:rsidRPr="00620C7E" w14:paraId="31BB7403" w14:textId="77777777" w:rsidTr="007E0E3C">
        <w:tc>
          <w:tcPr>
            <w:tcW w:w="2943" w:type="dxa"/>
            <w:shd w:val="clear" w:color="auto" w:fill="DEEAF6" w:themeFill="accent1" w:themeFillTint="33"/>
          </w:tcPr>
          <w:p w14:paraId="03D300A0"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3. rok</w:t>
            </w:r>
            <w:r w:rsidRPr="00620C7E">
              <w:rPr>
                <w:rFonts w:asciiTheme="minorHAnsi" w:hAnsiTheme="minorHAnsi" w:cstheme="minorHAnsi"/>
                <w:sz w:val="22"/>
              </w:rPr>
              <w:t xml:space="preserve"> </w:t>
            </w:r>
            <w:r w:rsidRPr="00620C7E">
              <w:rPr>
                <w:rFonts w:asciiTheme="minorHAnsi" w:hAnsiTheme="minorHAnsi" w:cstheme="minorHAnsi"/>
                <w:color w:val="A6A6A6" w:themeColor="background1" w:themeShade="A6"/>
                <w:sz w:val="22"/>
              </w:rPr>
              <w:t>(je-li relevantní)</w:t>
            </w:r>
          </w:p>
        </w:tc>
        <w:tc>
          <w:tcPr>
            <w:tcW w:w="5984" w:type="dxa"/>
          </w:tcPr>
          <w:p w14:paraId="50CBB3BF" w14:textId="77777777" w:rsidR="00285527" w:rsidRPr="00620C7E" w:rsidRDefault="00285527" w:rsidP="007E0E3C">
            <w:pPr>
              <w:spacing w:line="259" w:lineRule="auto"/>
              <w:rPr>
                <w:rFonts w:asciiTheme="minorHAnsi" w:hAnsiTheme="minorHAnsi" w:cstheme="minorHAnsi"/>
                <w:sz w:val="22"/>
              </w:rPr>
            </w:pPr>
          </w:p>
        </w:tc>
      </w:tr>
      <w:tr w:rsidR="00285527" w:rsidRPr="00620C7E" w14:paraId="193AFBD6" w14:textId="77777777" w:rsidTr="007E0E3C">
        <w:tc>
          <w:tcPr>
            <w:tcW w:w="2943" w:type="dxa"/>
            <w:shd w:val="clear" w:color="auto" w:fill="DEEAF6" w:themeFill="accent1" w:themeFillTint="33"/>
          </w:tcPr>
          <w:p w14:paraId="7F5E77D2" w14:textId="77777777" w:rsidR="00285527" w:rsidRPr="00620C7E" w:rsidRDefault="00285527" w:rsidP="007E0E3C">
            <w:pPr>
              <w:spacing w:line="259" w:lineRule="auto"/>
              <w:rPr>
                <w:rFonts w:asciiTheme="minorHAnsi" w:hAnsiTheme="minorHAnsi" w:cstheme="minorHAnsi"/>
                <w:sz w:val="22"/>
              </w:rPr>
            </w:pPr>
            <w:r w:rsidRPr="00620C7E">
              <w:rPr>
                <w:rFonts w:asciiTheme="minorHAnsi" w:hAnsiTheme="minorHAnsi" w:cstheme="minorHAnsi"/>
                <w:b/>
                <w:bCs/>
                <w:sz w:val="22"/>
              </w:rPr>
              <w:t xml:space="preserve">3. rok </w:t>
            </w:r>
            <w:r w:rsidRPr="00620C7E">
              <w:rPr>
                <w:rFonts w:asciiTheme="minorHAnsi" w:hAnsiTheme="minorHAnsi" w:cstheme="minorHAnsi"/>
                <w:color w:val="A6A6A6" w:themeColor="background1" w:themeShade="A6"/>
                <w:sz w:val="22"/>
              </w:rPr>
              <w:t>(je-li relevantní)</w:t>
            </w:r>
          </w:p>
        </w:tc>
        <w:tc>
          <w:tcPr>
            <w:tcW w:w="5984" w:type="dxa"/>
          </w:tcPr>
          <w:p w14:paraId="6627A03C" w14:textId="77777777" w:rsidR="00285527" w:rsidRPr="00620C7E" w:rsidRDefault="00285527" w:rsidP="007E0E3C">
            <w:pPr>
              <w:spacing w:line="259" w:lineRule="auto"/>
              <w:rPr>
                <w:rFonts w:asciiTheme="minorHAnsi" w:hAnsiTheme="minorHAnsi" w:cstheme="minorHAnsi"/>
                <w:sz w:val="22"/>
              </w:rPr>
            </w:pPr>
          </w:p>
        </w:tc>
      </w:tr>
    </w:tbl>
    <w:p w14:paraId="593C44EB" w14:textId="31B18862" w:rsidR="002D23B8" w:rsidRPr="009B3BDC" w:rsidRDefault="00285527" w:rsidP="009B3BDC">
      <w:pPr>
        <w:spacing w:line="240" w:lineRule="auto"/>
        <w:rPr>
          <w:rFonts w:asciiTheme="minorHAnsi" w:hAnsiTheme="minorHAnsi" w:cstheme="minorHAnsi"/>
          <w:sz w:val="18"/>
          <w:szCs w:val="18"/>
        </w:rPr>
      </w:pPr>
      <w:r w:rsidRPr="000B6029">
        <w:rPr>
          <w:rFonts w:asciiTheme="minorHAnsi" w:hAnsiTheme="minorHAnsi" w:cstheme="minorHAnsi"/>
          <w:sz w:val="18"/>
          <w:szCs w:val="18"/>
        </w:rPr>
        <w:t xml:space="preserve">Pozn.: </w:t>
      </w:r>
      <w:r w:rsidR="00162641">
        <w:rPr>
          <w:rFonts w:asciiTheme="minorHAnsi" w:hAnsiTheme="minorHAnsi" w:cstheme="minorHAnsi"/>
          <w:sz w:val="18"/>
          <w:szCs w:val="18"/>
        </w:rPr>
        <w:t>Ř</w:t>
      </w:r>
      <w:r w:rsidRPr="000B6029">
        <w:rPr>
          <w:rFonts w:asciiTheme="minorHAnsi" w:hAnsiTheme="minorHAnsi" w:cstheme="minorHAnsi"/>
          <w:sz w:val="18"/>
          <w:szCs w:val="18"/>
        </w:rPr>
        <w:t>ešitel se může v</w:t>
      </w:r>
      <w:r w:rsidR="007E0E3C">
        <w:rPr>
          <w:rFonts w:asciiTheme="minorHAnsi" w:hAnsiTheme="minorHAnsi" w:cstheme="minorHAnsi"/>
          <w:sz w:val="18"/>
          <w:szCs w:val="18"/>
        </w:rPr>
        <w:t> </w:t>
      </w:r>
      <w:r w:rsidRPr="000B6029">
        <w:rPr>
          <w:rFonts w:asciiTheme="minorHAnsi" w:hAnsiTheme="minorHAnsi" w:cstheme="minorHAnsi"/>
          <w:sz w:val="18"/>
          <w:szCs w:val="18"/>
        </w:rPr>
        <w:t>jednotlivých letech odklonit při řešení projekt</w:t>
      </w:r>
      <w:r>
        <w:rPr>
          <w:rFonts w:asciiTheme="minorHAnsi" w:hAnsiTheme="minorHAnsi" w:cstheme="minorHAnsi"/>
          <w:sz w:val="18"/>
          <w:szCs w:val="18"/>
        </w:rPr>
        <w:t>u</w:t>
      </w:r>
      <w:r w:rsidRPr="000B6029">
        <w:rPr>
          <w:rFonts w:asciiTheme="minorHAnsi" w:hAnsiTheme="minorHAnsi" w:cstheme="minorHAnsi"/>
          <w:sz w:val="18"/>
          <w:szCs w:val="18"/>
        </w:rPr>
        <w:t xml:space="preserve"> od stanoveného rozvrhu, nepřesáhnou-li změny 25</w:t>
      </w:r>
      <w:r w:rsidR="00A06A03">
        <w:rPr>
          <w:rFonts w:asciiTheme="minorHAnsi" w:hAnsiTheme="minorHAnsi" w:cstheme="minorHAnsi"/>
          <w:sz w:val="18"/>
          <w:szCs w:val="18"/>
        </w:rPr>
        <w:t xml:space="preserve"> </w:t>
      </w:r>
      <w:r w:rsidRPr="000B6029">
        <w:rPr>
          <w:rFonts w:asciiTheme="minorHAnsi" w:hAnsiTheme="minorHAnsi" w:cstheme="minorHAnsi"/>
          <w:sz w:val="18"/>
          <w:szCs w:val="18"/>
        </w:rPr>
        <w:t>% celkového objemu dotace na daný rok. V</w:t>
      </w:r>
      <w:r w:rsidR="007E0E3C">
        <w:rPr>
          <w:rFonts w:asciiTheme="minorHAnsi" w:hAnsiTheme="minorHAnsi" w:cstheme="minorHAnsi"/>
          <w:sz w:val="18"/>
          <w:szCs w:val="18"/>
        </w:rPr>
        <w:t> </w:t>
      </w:r>
      <w:r w:rsidRPr="000B6029">
        <w:rPr>
          <w:rFonts w:asciiTheme="minorHAnsi" w:hAnsiTheme="minorHAnsi" w:cstheme="minorHAnsi"/>
          <w:sz w:val="18"/>
          <w:szCs w:val="18"/>
        </w:rPr>
        <w:t>případě, že řešitel potřebuje učinit zásadnější změny v</w:t>
      </w:r>
      <w:r w:rsidR="007E0E3C">
        <w:rPr>
          <w:rFonts w:asciiTheme="minorHAnsi" w:hAnsiTheme="minorHAnsi" w:cstheme="minorHAnsi"/>
          <w:sz w:val="18"/>
          <w:szCs w:val="18"/>
        </w:rPr>
        <w:t> </w:t>
      </w:r>
      <w:r w:rsidRPr="000B6029">
        <w:rPr>
          <w:rFonts w:asciiTheme="minorHAnsi" w:hAnsiTheme="minorHAnsi" w:cstheme="minorHAnsi"/>
          <w:sz w:val="18"/>
          <w:szCs w:val="18"/>
        </w:rPr>
        <w:t>rozpočtu</w:t>
      </w:r>
      <w:r>
        <w:rPr>
          <w:rFonts w:asciiTheme="minorHAnsi" w:hAnsiTheme="minorHAnsi" w:cstheme="minorHAnsi"/>
          <w:sz w:val="18"/>
          <w:szCs w:val="18"/>
        </w:rPr>
        <w:t xml:space="preserve"> přesahující uvedený limit</w:t>
      </w:r>
      <w:r w:rsidRPr="000B6029">
        <w:rPr>
          <w:rFonts w:asciiTheme="minorHAnsi" w:hAnsiTheme="minorHAnsi" w:cstheme="minorHAnsi"/>
          <w:sz w:val="18"/>
          <w:szCs w:val="18"/>
        </w:rPr>
        <w:t>, požádá prostřednictvím vědecké referentky o změnu v</w:t>
      </w:r>
      <w:r w:rsidR="007E0E3C">
        <w:rPr>
          <w:rFonts w:asciiTheme="minorHAnsi" w:hAnsiTheme="minorHAnsi" w:cstheme="minorHAnsi"/>
          <w:sz w:val="18"/>
          <w:szCs w:val="18"/>
        </w:rPr>
        <w:t> </w:t>
      </w:r>
      <w:r w:rsidRPr="000B6029">
        <w:rPr>
          <w:rFonts w:asciiTheme="minorHAnsi" w:hAnsiTheme="minorHAnsi" w:cstheme="minorHAnsi"/>
          <w:sz w:val="18"/>
          <w:szCs w:val="18"/>
        </w:rPr>
        <w:t>řešení</w:t>
      </w:r>
      <w:r>
        <w:rPr>
          <w:rFonts w:asciiTheme="minorHAnsi" w:hAnsiTheme="minorHAnsi" w:cstheme="minorHAnsi"/>
          <w:sz w:val="18"/>
          <w:szCs w:val="18"/>
        </w:rPr>
        <w:t xml:space="preserve">. Tuto změnu </w:t>
      </w:r>
      <w:r w:rsidRPr="000B6029">
        <w:rPr>
          <w:rFonts w:asciiTheme="minorHAnsi" w:hAnsiTheme="minorHAnsi" w:cstheme="minorHAnsi"/>
          <w:sz w:val="18"/>
          <w:szCs w:val="18"/>
        </w:rPr>
        <w:t>posoudí Komise FPVČ</w:t>
      </w:r>
      <w:r w:rsidR="00162641">
        <w:rPr>
          <w:rFonts w:asciiTheme="minorHAnsi" w:hAnsiTheme="minorHAnsi" w:cstheme="minorHAnsi"/>
          <w:sz w:val="18"/>
          <w:szCs w:val="18"/>
        </w:rPr>
        <w:t>.</w:t>
      </w:r>
    </w:p>
    <w:sectPr w:rsidR="002D23B8" w:rsidRPr="009B3BDC"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5DE6" w14:textId="77777777" w:rsidR="00F43B27" w:rsidRDefault="00F43B27" w:rsidP="00F15613">
      <w:pPr>
        <w:spacing w:line="240" w:lineRule="auto"/>
      </w:pPr>
      <w:r>
        <w:separator/>
      </w:r>
    </w:p>
  </w:endnote>
  <w:endnote w:type="continuationSeparator" w:id="0">
    <w:p w14:paraId="1219B020" w14:textId="77777777" w:rsidR="00F43B27" w:rsidRDefault="00F43B27"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1C9B4583" w14:textId="77777777" w:rsidR="002C3C2A" w:rsidRDefault="00623E72">
        <w:pPr>
          <w:pStyle w:val="Zpat"/>
          <w:jc w:val="center"/>
        </w:pPr>
        <w:r>
          <w:fldChar w:fldCharType="begin"/>
        </w:r>
        <w:r>
          <w:instrText>PAGE   \* MERGEFORMAT</w:instrText>
        </w:r>
        <w:r>
          <w:fldChar w:fldCharType="separate"/>
        </w:r>
        <w:r w:rsidR="003F5718">
          <w:rPr>
            <w:noProof/>
          </w:rPr>
          <w:t>1</w:t>
        </w:r>
        <w:r>
          <w:fldChar w:fldCharType="end"/>
        </w:r>
      </w:p>
      <w:p w14:paraId="31AAF64F" w14:textId="4461DED7" w:rsidR="00623E72" w:rsidRDefault="00CE35A1" w:rsidP="00CE35A1">
        <w:pPr>
          <w:pStyle w:val="Zpat"/>
          <w:jc w:val="right"/>
        </w:pPr>
        <w:r>
          <w:tab/>
        </w:r>
        <w:r w:rsidRPr="00E854E9">
          <w:rPr>
            <w:color w:val="BFBFBF" w:themeColor="background1" w:themeShade="BF"/>
          </w:rPr>
          <w:t>verze 0</w:t>
        </w:r>
        <w:r>
          <w:rPr>
            <w:color w:val="BFBFBF" w:themeColor="background1" w:themeShade="BF"/>
          </w:rPr>
          <w:t>2</w:t>
        </w:r>
        <w:r w:rsidRPr="00E854E9">
          <w:rPr>
            <w:color w:val="BFBFBF" w:themeColor="background1" w:themeShade="BF"/>
          </w:rPr>
          <w:t xml:space="preserve">: </w:t>
        </w:r>
        <w:r>
          <w:rPr>
            <w:color w:val="BFBFBF" w:themeColor="background1" w:themeShade="BF"/>
          </w:rPr>
          <w:t>25</w:t>
        </w:r>
        <w:r w:rsidRPr="00E854E9">
          <w:rPr>
            <w:color w:val="BFBFBF" w:themeColor="background1" w:themeShade="BF"/>
          </w:rPr>
          <w:t>.</w:t>
        </w:r>
        <w:r>
          <w:rPr>
            <w:color w:val="BFBFBF" w:themeColor="background1" w:themeShade="BF"/>
          </w:rPr>
          <w:t> 5</w:t>
        </w:r>
        <w:r w:rsidRPr="00E854E9">
          <w:rPr>
            <w:color w:val="BFBFBF" w:themeColor="background1" w:themeShade="BF"/>
          </w:rPr>
          <w:t>.</w:t>
        </w:r>
        <w:r>
          <w:rPr>
            <w:color w:val="BFBFBF" w:themeColor="background1" w:themeShade="BF"/>
          </w:rPr>
          <w:t> </w:t>
        </w:r>
        <w:r w:rsidRPr="00E854E9">
          <w:rPr>
            <w:color w:val="BFBFBF" w:themeColor="background1" w:themeShade="BF"/>
          </w:rPr>
          <w:t>202</w:t>
        </w:r>
        <w:r>
          <w:rPr>
            <w:color w:val="BFBFBF" w:themeColor="background1" w:themeShade="BF"/>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D4A9" w14:textId="77777777" w:rsidR="00F43B27" w:rsidRDefault="00F43B27" w:rsidP="00F15613">
      <w:pPr>
        <w:spacing w:line="240" w:lineRule="auto"/>
      </w:pPr>
      <w:r>
        <w:separator/>
      </w:r>
    </w:p>
  </w:footnote>
  <w:footnote w:type="continuationSeparator" w:id="0">
    <w:p w14:paraId="6BCE9202" w14:textId="77777777" w:rsidR="00F43B27" w:rsidRDefault="00F43B27" w:rsidP="00F15613">
      <w:pPr>
        <w:spacing w:line="240" w:lineRule="auto"/>
      </w:pPr>
      <w:r>
        <w:continuationSeparator/>
      </w:r>
    </w:p>
  </w:footnote>
  <w:footnote w:id="1">
    <w:p w14:paraId="20FEE5FB" w14:textId="77777777" w:rsidR="00623E72" w:rsidRPr="00623E72" w:rsidRDefault="00623E72" w:rsidP="003756EB">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C982B5" w14:textId="77777777"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66A84041" w14:textId="77777777" w:rsidR="00623E72" w:rsidRPr="00623E72" w:rsidRDefault="00623E72" w:rsidP="003756EB">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5FB5EA08" w14:textId="46233870"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60E02EBD" w14:textId="34AD316E"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136DEFD7" w14:textId="734E0BA5"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9E"/>
    <w:rsid w:val="00005DA2"/>
    <w:rsid w:val="00017734"/>
    <w:rsid w:val="00021F25"/>
    <w:rsid w:val="00031FBE"/>
    <w:rsid w:val="000330AE"/>
    <w:rsid w:val="000330E9"/>
    <w:rsid w:val="00053E4E"/>
    <w:rsid w:val="0005636E"/>
    <w:rsid w:val="000779D1"/>
    <w:rsid w:val="000969C1"/>
    <w:rsid w:val="000A04AE"/>
    <w:rsid w:val="000B3F8F"/>
    <w:rsid w:val="000C1D92"/>
    <w:rsid w:val="000D01AC"/>
    <w:rsid w:val="000F2F69"/>
    <w:rsid w:val="000F45E0"/>
    <w:rsid w:val="001036C3"/>
    <w:rsid w:val="0010566D"/>
    <w:rsid w:val="00105A37"/>
    <w:rsid w:val="00114605"/>
    <w:rsid w:val="0012443C"/>
    <w:rsid w:val="001264C7"/>
    <w:rsid w:val="00126E53"/>
    <w:rsid w:val="00127EF4"/>
    <w:rsid w:val="001310BA"/>
    <w:rsid w:val="0013188B"/>
    <w:rsid w:val="001368A0"/>
    <w:rsid w:val="00145636"/>
    <w:rsid w:val="00157145"/>
    <w:rsid w:val="00157179"/>
    <w:rsid w:val="00162641"/>
    <w:rsid w:val="00167DA5"/>
    <w:rsid w:val="0017762D"/>
    <w:rsid w:val="00177B3D"/>
    <w:rsid w:val="00182BB3"/>
    <w:rsid w:val="00187FE7"/>
    <w:rsid w:val="00193E45"/>
    <w:rsid w:val="0019418D"/>
    <w:rsid w:val="0019725B"/>
    <w:rsid w:val="001B10CB"/>
    <w:rsid w:val="001B3B47"/>
    <w:rsid w:val="001B3BEE"/>
    <w:rsid w:val="001B5EA0"/>
    <w:rsid w:val="001C61F2"/>
    <w:rsid w:val="001D5B22"/>
    <w:rsid w:val="001E3DEA"/>
    <w:rsid w:val="002011D5"/>
    <w:rsid w:val="00202A29"/>
    <w:rsid w:val="00204D26"/>
    <w:rsid w:val="00217C2A"/>
    <w:rsid w:val="00222C7C"/>
    <w:rsid w:val="0022406D"/>
    <w:rsid w:val="002352CC"/>
    <w:rsid w:val="0024279E"/>
    <w:rsid w:val="0024412D"/>
    <w:rsid w:val="0024663B"/>
    <w:rsid w:val="0025254C"/>
    <w:rsid w:val="002641BC"/>
    <w:rsid w:val="00266933"/>
    <w:rsid w:val="0027619C"/>
    <w:rsid w:val="002769D4"/>
    <w:rsid w:val="002854A3"/>
    <w:rsid w:val="00285527"/>
    <w:rsid w:val="00285CC5"/>
    <w:rsid w:val="002904E3"/>
    <w:rsid w:val="00297075"/>
    <w:rsid w:val="002A049B"/>
    <w:rsid w:val="002B71E0"/>
    <w:rsid w:val="002C1187"/>
    <w:rsid w:val="002C3C2A"/>
    <w:rsid w:val="002C7429"/>
    <w:rsid w:val="002C782F"/>
    <w:rsid w:val="002D23B8"/>
    <w:rsid w:val="002E58CA"/>
    <w:rsid w:val="002F147C"/>
    <w:rsid w:val="002F2023"/>
    <w:rsid w:val="002F41E7"/>
    <w:rsid w:val="00305607"/>
    <w:rsid w:val="00306423"/>
    <w:rsid w:val="00320537"/>
    <w:rsid w:val="00321BAA"/>
    <w:rsid w:val="00323C96"/>
    <w:rsid w:val="003261B6"/>
    <w:rsid w:val="00334089"/>
    <w:rsid w:val="0033690E"/>
    <w:rsid w:val="00336DA6"/>
    <w:rsid w:val="00350891"/>
    <w:rsid w:val="00365F0A"/>
    <w:rsid w:val="00372EE8"/>
    <w:rsid w:val="003756EB"/>
    <w:rsid w:val="0039184A"/>
    <w:rsid w:val="00391B8F"/>
    <w:rsid w:val="00395ED0"/>
    <w:rsid w:val="00395FBC"/>
    <w:rsid w:val="00396754"/>
    <w:rsid w:val="003C04BF"/>
    <w:rsid w:val="003C621A"/>
    <w:rsid w:val="003D64E5"/>
    <w:rsid w:val="003E003D"/>
    <w:rsid w:val="003E26D2"/>
    <w:rsid w:val="003E3E83"/>
    <w:rsid w:val="003E46BB"/>
    <w:rsid w:val="003E5BAE"/>
    <w:rsid w:val="003E6E71"/>
    <w:rsid w:val="003F5718"/>
    <w:rsid w:val="004039B5"/>
    <w:rsid w:val="00411E6A"/>
    <w:rsid w:val="00423234"/>
    <w:rsid w:val="004262AF"/>
    <w:rsid w:val="00432528"/>
    <w:rsid w:val="00432DDC"/>
    <w:rsid w:val="004635CA"/>
    <w:rsid w:val="0046725F"/>
    <w:rsid w:val="00475C46"/>
    <w:rsid w:val="00486300"/>
    <w:rsid w:val="00491B4D"/>
    <w:rsid w:val="00494F22"/>
    <w:rsid w:val="004C0C3A"/>
    <w:rsid w:val="004E7DF2"/>
    <w:rsid w:val="004F16DD"/>
    <w:rsid w:val="004F32BA"/>
    <w:rsid w:val="004F3806"/>
    <w:rsid w:val="00512231"/>
    <w:rsid w:val="00513973"/>
    <w:rsid w:val="005175B8"/>
    <w:rsid w:val="00524B00"/>
    <w:rsid w:val="00544E0A"/>
    <w:rsid w:val="00553FCA"/>
    <w:rsid w:val="00560F75"/>
    <w:rsid w:val="00563492"/>
    <w:rsid w:val="005676EE"/>
    <w:rsid w:val="005721BB"/>
    <w:rsid w:val="0057293A"/>
    <w:rsid w:val="0057297A"/>
    <w:rsid w:val="00572C2C"/>
    <w:rsid w:val="00585F66"/>
    <w:rsid w:val="00594434"/>
    <w:rsid w:val="00595C41"/>
    <w:rsid w:val="005A539D"/>
    <w:rsid w:val="005A5740"/>
    <w:rsid w:val="005B1EAD"/>
    <w:rsid w:val="005B7890"/>
    <w:rsid w:val="005D0C83"/>
    <w:rsid w:val="005D2508"/>
    <w:rsid w:val="005D646B"/>
    <w:rsid w:val="005E2F10"/>
    <w:rsid w:val="005E5529"/>
    <w:rsid w:val="006102C7"/>
    <w:rsid w:val="006118A7"/>
    <w:rsid w:val="00616A91"/>
    <w:rsid w:val="00623E72"/>
    <w:rsid w:val="006318D6"/>
    <w:rsid w:val="00635653"/>
    <w:rsid w:val="00637907"/>
    <w:rsid w:val="006408CE"/>
    <w:rsid w:val="00644FBD"/>
    <w:rsid w:val="00651172"/>
    <w:rsid w:val="00656979"/>
    <w:rsid w:val="00657E09"/>
    <w:rsid w:val="00660FA1"/>
    <w:rsid w:val="006657C2"/>
    <w:rsid w:val="006669F9"/>
    <w:rsid w:val="0066721B"/>
    <w:rsid w:val="00673CCD"/>
    <w:rsid w:val="00674468"/>
    <w:rsid w:val="006767EC"/>
    <w:rsid w:val="00680944"/>
    <w:rsid w:val="00683743"/>
    <w:rsid w:val="00684820"/>
    <w:rsid w:val="00684BBD"/>
    <w:rsid w:val="006A1E38"/>
    <w:rsid w:val="006A22B6"/>
    <w:rsid w:val="006A4886"/>
    <w:rsid w:val="006A56BF"/>
    <w:rsid w:val="006B2829"/>
    <w:rsid w:val="006B2F16"/>
    <w:rsid w:val="006B42FD"/>
    <w:rsid w:val="006B78DC"/>
    <w:rsid w:val="006C0585"/>
    <w:rsid w:val="006D70D5"/>
    <w:rsid w:val="006F153F"/>
    <w:rsid w:val="006F6791"/>
    <w:rsid w:val="006F6A7E"/>
    <w:rsid w:val="00707EAE"/>
    <w:rsid w:val="00710B96"/>
    <w:rsid w:val="0071200D"/>
    <w:rsid w:val="00714320"/>
    <w:rsid w:val="00717B5B"/>
    <w:rsid w:val="00727996"/>
    <w:rsid w:val="00742069"/>
    <w:rsid w:val="00744CA9"/>
    <w:rsid w:val="00754833"/>
    <w:rsid w:val="00754C14"/>
    <w:rsid w:val="007818CF"/>
    <w:rsid w:val="0078767F"/>
    <w:rsid w:val="007A4845"/>
    <w:rsid w:val="007B3D01"/>
    <w:rsid w:val="007B540E"/>
    <w:rsid w:val="007B7270"/>
    <w:rsid w:val="007C3D8B"/>
    <w:rsid w:val="007D16F3"/>
    <w:rsid w:val="007D2012"/>
    <w:rsid w:val="007D7487"/>
    <w:rsid w:val="007E0E3C"/>
    <w:rsid w:val="007E263B"/>
    <w:rsid w:val="007F71E6"/>
    <w:rsid w:val="007F765E"/>
    <w:rsid w:val="008020CC"/>
    <w:rsid w:val="008053C9"/>
    <w:rsid w:val="00805E26"/>
    <w:rsid w:val="008221EE"/>
    <w:rsid w:val="00826D13"/>
    <w:rsid w:val="00832389"/>
    <w:rsid w:val="008353EF"/>
    <w:rsid w:val="00852D9E"/>
    <w:rsid w:val="00860527"/>
    <w:rsid w:val="00873855"/>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06D67"/>
    <w:rsid w:val="00916064"/>
    <w:rsid w:val="0092135F"/>
    <w:rsid w:val="009231DA"/>
    <w:rsid w:val="00927373"/>
    <w:rsid w:val="00932C17"/>
    <w:rsid w:val="00933318"/>
    <w:rsid w:val="00934FBE"/>
    <w:rsid w:val="009402BF"/>
    <w:rsid w:val="00946484"/>
    <w:rsid w:val="00950CC8"/>
    <w:rsid w:val="00956DF6"/>
    <w:rsid w:val="00960B37"/>
    <w:rsid w:val="009626A5"/>
    <w:rsid w:val="0096289A"/>
    <w:rsid w:val="0098022F"/>
    <w:rsid w:val="00984C3E"/>
    <w:rsid w:val="00985CD2"/>
    <w:rsid w:val="00987136"/>
    <w:rsid w:val="009926C8"/>
    <w:rsid w:val="009950B6"/>
    <w:rsid w:val="009A3DE1"/>
    <w:rsid w:val="009A68D6"/>
    <w:rsid w:val="009A7F9B"/>
    <w:rsid w:val="009B2452"/>
    <w:rsid w:val="009B3BDC"/>
    <w:rsid w:val="009B70CB"/>
    <w:rsid w:val="009C0D8C"/>
    <w:rsid w:val="009D6C27"/>
    <w:rsid w:val="009E15A3"/>
    <w:rsid w:val="009F3F9F"/>
    <w:rsid w:val="009F4EF6"/>
    <w:rsid w:val="00A04911"/>
    <w:rsid w:val="00A06A03"/>
    <w:rsid w:val="00A07321"/>
    <w:rsid w:val="00A07CDB"/>
    <w:rsid w:val="00A1071F"/>
    <w:rsid w:val="00A46DBE"/>
    <w:rsid w:val="00A47732"/>
    <w:rsid w:val="00A51D87"/>
    <w:rsid w:val="00A53B87"/>
    <w:rsid w:val="00A9067A"/>
    <w:rsid w:val="00AA0422"/>
    <w:rsid w:val="00AA0C04"/>
    <w:rsid w:val="00AB78BE"/>
    <w:rsid w:val="00AD06A0"/>
    <w:rsid w:val="00AD45F1"/>
    <w:rsid w:val="00AE3588"/>
    <w:rsid w:val="00AE657B"/>
    <w:rsid w:val="00AF1162"/>
    <w:rsid w:val="00B00180"/>
    <w:rsid w:val="00B03344"/>
    <w:rsid w:val="00B13250"/>
    <w:rsid w:val="00B15E86"/>
    <w:rsid w:val="00B163D8"/>
    <w:rsid w:val="00B26AD7"/>
    <w:rsid w:val="00B3183F"/>
    <w:rsid w:val="00B33B4A"/>
    <w:rsid w:val="00B347EF"/>
    <w:rsid w:val="00B42561"/>
    <w:rsid w:val="00B471F3"/>
    <w:rsid w:val="00B52715"/>
    <w:rsid w:val="00B52D98"/>
    <w:rsid w:val="00B53059"/>
    <w:rsid w:val="00B622B5"/>
    <w:rsid w:val="00B62557"/>
    <w:rsid w:val="00B7536A"/>
    <w:rsid w:val="00B7584A"/>
    <w:rsid w:val="00B80859"/>
    <w:rsid w:val="00B81A91"/>
    <w:rsid w:val="00B91EBB"/>
    <w:rsid w:val="00B92E65"/>
    <w:rsid w:val="00BA0423"/>
    <w:rsid w:val="00BA0C9F"/>
    <w:rsid w:val="00BB4C28"/>
    <w:rsid w:val="00BB6429"/>
    <w:rsid w:val="00BB78DD"/>
    <w:rsid w:val="00BC453A"/>
    <w:rsid w:val="00BD04D6"/>
    <w:rsid w:val="00BD1453"/>
    <w:rsid w:val="00BE1819"/>
    <w:rsid w:val="00C02D2B"/>
    <w:rsid w:val="00C04AB3"/>
    <w:rsid w:val="00C05426"/>
    <w:rsid w:val="00C05C2A"/>
    <w:rsid w:val="00C07623"/>
    <w:rsid w:val="00C1131C"/>
    <w:rsid w:val="00C11A82"/>
    <w:rsid w:val="00C16110"/>
    <w:rsid w:val="00C20A8E"/>
    <w:rsid w:val="00C33212"/>
    <w:rsid w:val="00C46CE8"/>
    <w:rsid w:val="00C53646"/>
    <w:rsid w:val="00C55BB9"/>
    <w:rsid w:val="00C62280"/>
    <w:rsid w:val="00C64C5E"/>
    <w:rsid w:val="00C72354"/>
    <w:rsid w:val="00C771E4"/>
    <w:rsid w:val="00C83A57"/>
    <w:rsid w:val="00C854C0"/>
    <w:rsid w:val="00C8791C"/>
    <w:rsid w:val="00CA0F83"/>
    <w:rsid w:val="00CB2CB0"/>
    <w:rsid w:val="00CB58E7"/>
    <w:rsid w:val="00CE10E5"/>
    <w:rsid w:val="00CE35A1"/>
    <w:rsid w:val="00CF0251"/>
    <w:rsid w:val="00CF18E9"/>
    <w:rsid w:val="00CF6DC4"/>
    <w:rsid w:val="00D01850"/>
    <w:rsid w:val="00D025F1"/>
    <w:rsid w:val="00D0529A"/>
    <w:rsid w:val="00D13453"/>
    <w:rsid w:val="00D226C6"/>
    <w:rsid w:val="00D24E2B"/>
    <w:rsid w:val="00D26DEB"/>
    <w:rsid w:val="00D36F25"/>
    <w:rsid w:val="00D36F99"/>
    <w:rsid w:val="00D37C23"/>
    <w:rsid w:val="00D501D5"/>
    <w:rsid w:val="00D55999"/>
    <w:rsid w:val="00D5786A"/>
    <w:rsid w:val="00D909C8"/>
    <w:rsid w:val="00DA7758"/>
    <w:rsid w:val="00DB3926"/>
    <w:rsid w:val="00DB4442"/>
    <w:rsid w:val="00DB5733"/>
    <w:rsid w:val="00DC1520"/>
    <w:rsid w:val="00DC3DB3"/>
    <w:rsid w:val="00DD49A1"/>
    <w:rsid w:val="00DE02C4"/>
    <w:rsid w:val="00DE2708"/>
    <w:rsid w:val="00DE32EE"/>
    <w:rsid w:val="00DE43C7"/>
    <w:rsid w:val="00DE7C47"/>
    <w:rsid w:val="00DF3DE4"/>
    <w:rsid w:val="00E03A6B"/>
    <w:rsid w:val="00E1500B"/>
    <w:rsid w:val="00E178B9"/>
    <w:rsid w:val="00E30B87"/>
    <w:rsid w:val="00E31E3E"/>
    <w:rsid w:val="00E33668"/>
    <w:rsid w:val="00E404F6"/>
    <w:rsid w:val="00E46FBA"/>
    <w:rsid w:val="00E522CF"/>
    <w:rsid w:val="00E75399"/>
    <w:rsid w:val="00E80EF5"/>
    <w:rsid w:val="00E97744"/>
    <w:rsid w:val="00EA7965"/>
    <w:rsid w:val="00EB0C47"/>
    <w:rsid w:val="00EC0E82"/>
    <w:rsid w:val="00ED0F45"/>
    <w:rsid w:val="00ED63F8"/>
    <w:rsid w:val="00ED6DED"/>
    <w:rsid w:val="00ED7A14"/>
    <w:rsid w:val="00EE26CD"/>
    <w:rsid w:val="00EE68BA"/>
    <w:rsid w:val="00F00760"/>
    <w:rsid w:val="00F0078F"/>
    <w:rsid w:val="00F03A51"/>
    <w:rsid w:val="00F06B81"/>
    <w:rsid w:val="00F15613"/>
    <w:rsid w:val="00F15BF7"/>
    <w:rsid w:val="00F20EDF"/>
    <w:rsid w:val="00F3764E"/>
    <w:rsid w:val="00F43B27"/>
    <w:rsid w:val="00F519C0"/>
    <w:rsid w:val="00F56403"/>
    <w:rsid w:val="00F751F5"/>
    <w:rsid w:val="00F80B83"/>
    <w:rsid w:val="00F8126A"/>
    <w:rsid w:val="00F81B29"/>
    <w:rsid w:val="00F8388B"/>
    <w:rsid w:val="00F8681A"/>
    <w:rsid w:val="00F86C2F"/>
    <w:rsid w:val="00F913A0"/>
    <w:rsid w:val="00F92585"/>
    <w:rsid w:val="00F943A7"/>
    <w:rsid w:val="00FA37F9"/>
    <w:rsid w:val="00FB3402"/>
    <w:rsid w:val="00FC6CA4"/>
    <w:rsid w:val="00FD6940"/>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2.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15</TotalTime>
  <Pages>8</Pages>
  <Words>2066</Words>
  <Characters>12195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Kopecna Jana</dc:creator>
  <cp:lastModifiedBy>Kopecna Jana</cp:lastModifiedBy>
  <cp:revision>8</cp:revision>
  <cp:lastPrinted>2018-03-12T14:53:00Z</cp:lastPrinted>
  <dcterms:created xsi:type="dcterms:W3CDTF">2023-05-12T07:00:00Z</dcterms:created>
  <dcterms:modified xsi:type="dcterms:W3CDTF">2023-06-02T07:44:00Z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